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9B27" w14:textId="77777777" w:rsidR="00E07702" w:rsidRDefault="00112FA8">
      <w:pPr>
        <w:pStyle w:val="4"/>
        <w:widowControl/>
        <w:spacing w:beforeAutospacing="0" w:afterAutospacing="0"/>
        <w:rPr>
          <w:rFonts w:hint="default"/>
        </w:rPr>
      </w:pPr>
      <w:r>
        <w:rPr>
          <w:rStyle w:val="a8"/>
          <w:rFonts w:ascii="微软雅黑" w:eastAsia="微软雅黑" w:hAnsi="微软雅黑" w:cs="微软雅黑"/>
          <w:b/>
        </w:rPr>
        <w:t xml:space="preserve">1. </w:t>
      </w:r>
      <w:r>
        <w:rPr>
          <w:rStyle w:val="a8"/>
          <w:rFonts w:ascii="微软雅黑" w:eastAsia="微软雅黑" w:hAnsi="微软雅黑" w:cs="微软雅黑"/>
          <w:b/>
        </w:rPr>
        <w:t>模型开发关键技术指标</w:t>
      </w:r>
    </w:p>
    <w:p w14:paraId="246EA862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油污预警模型</w:t>
      </w:r>
    </w:p>
    <w:p w14:paraId="77A4AE2E" w14:textId="34F45543" w:rsidR="00E07702" w:rsidRDefault="00112FA8">
      <w:pPr>
        <w:widowControl/>
        <w:numPr>
          <w:ilvl w:val="1"/>
          <w:numId w:val="1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输入参数</w:t>
      </w:r>
      <w:r>
        <w:rPr>
          <w:rFonts w:ascii="微软雅黑" w:eastAsia="微软雅黑" w:hAnsi="微软雅黑" w:cs="微软雅黑" w:hint="eastAsia"/>
          <w:sz w:val="24"/>
          <w:szCs w:val="24"/>
        </w:rPr>
        <w:t>：风</w:t>
      </w:r>
      <w:r w:rsidR="00C54627">
        <w:rPr>
          <w:rFonts w:ascii="微软雅黑" w:eastAsia="微软雅黑" w:hAnsi="微软雅黑" w:cs="微软雅黑" w:hint="eastAsia"/>
          <w:sz w:val="24"/>
          <w:szCs w:val="24"/>
        </w:rPr>
        <w:t>场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C54627">
        <w:rPr>
          <w:rFonts w:ascii="微软雅黑" w:eastAsia="微软雅黑" w:hAnsi="微软雅黑" w:cs="微软雅黑" w:hint="eastAsia"/>
          <w:sz w:val="24"/>
          <w:szCs w:val="24"/>
        </w:rPr>
        <w:t>海浪</w:t>
      </w:r>
      <w:r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C54627">
        <w:rPr>
          <w:rFonts w:ascii="微软雅黑" w:eastAsia="微软雅黑" w:hAnsi="微软雅黑" w:cs="微软雅黑" w:hint="eastAsia"/>
          <w:sz w:val="24"/>
          <w:szCs w:val="24"/>
        </w:rPr>
        <w:t>流场</w:t>
      </w:r>
      <w:r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6BEAA92F" w14:textId="77777777" w:rsidR="00E07702" w:rsidRDefault="00112FA8">
      <w:pPr>
        <w:widowControl/>
        <w:numPr>
          <w:ilvl w:val="1"/>
          <w:numId w:val="1"/>
        </w:numPr>
        <w:spacing w:before="30"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输出功能</w:t>
      </w:r>
      <w:r>
        <w:rPr>
          <w:rFonts w:ascii="微软雅黑" w:eastAsia="微软雅黑" w:hAnsi="微软雅黑" w:cs="微软雅黑" w:hint="eastAsia"/>
          <w:sz w:val="24"/>
          <w:szCs w:val="24"/>
        </w:rPr>
        <w:t>：动态风险评估、自动成图。</w:t>
      </w:r>
    </w:p>
    <w:p w14:paraId="20A5AE97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生态损害评估模型</w:t>
      </w:r>
    </w:p>
    <w:p w14:paraId="75F2F03C" w14:textId="77777777" w:rsidR="00E07702" w:rsidRDefault="00112FA8">
      <w:pPr>
        <w:widowControl/>
        <w:numPr>
          <w:ilvl w:val="1"/>
          <w:numId w:val="2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评估维度</w:t>
      </w:r>
      <w:r>
        <w:rPr>
          <w:rFonts w:ascii="微软雅黑" w:eastAsia="微软雅黑" w:hAnsi="微软雅黑" w:cs="微软雅黑" w:hint="eastAsia"/>
          <w:sz w:val="24"/>
          <w:szCs w:val="24"/>
        </w:rPr>
        <w:t>：水体、岸线、沉积物、海洋生物的影响范围与程度。</w:t>
      </w:r>
    </w:p>
    <w:p w14:paraId="56C881D5" w14:textId="77777777" w:rsidR="00E07702" w:rsidRDefault="00112FA8">
      <w:pPr>
        <w:widowControl/>
        <w:numPr>
          <w:ilvl w:val="1"/>
          <w:numId w:val="2"/>
        </w:numPr>
        <w:spacing w:before="30"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经济损失评估</w:t>
      </w:r>
      <w:r>
        <w:rPr>
          <w:rFonts w:ascii="微软雅黑" w:eastAsia="微软雅黑" w:hAnsi="微软雅黑" w:cs="微软雅黑" w:hint="eastAsia"/>
          <w:sz w:val="24"/>
          <w:szCs w:val="24"/>
        </w:rPr>
        <w:t>：渔业损失、旅游业损失量化。</w:t>
      </w:r>
    </w:p>
    <w:p w14:paraId="7133700B" w14:textId="77777777" w:rsidR="00E07702" w:rsidRDefault="00112FA8">
      <w:pPr>
        <w:widowControl/>
        <w:numPr>
          <w:ilvl w:val="1"/>
          <w:numId w:val="2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技术标准</w:t>
      </w:r>
      <w:r>
        <w:rPr>
          <w:rFonts w:ascii="微软雅黑" w:eastAsia="微软雅黑" w:hAnsi="微软雅黑" w:cs="微软雅黑" w:hint="eastAsia"/>
          <w:sz w:val="24"/>
          <w:szCs w:val="24"/>
        </w:rPr>
        <w:t>：符合《</w:t>
      </w:r>
      <w:r>
        <w:rPr>
          <w:rFonts w:ascii="微软雅黑" w:eastAsia="微软雅黑" w:hAnsi="微软雅黑" w:cs="微软雅黑" w:hint="eastAsia"/>
          <w:sz w:val="24"/>
          <w:szCs w:val="24"/>
        </w:rPr>
        <w:t>GB/T 34546.2-2017</w:t>
      </w:r>
      <w:r>
        <w:rPr>
          <w:rFonts w:ascii="微软雅黑" w:eastAsia="微软雅黑" w:hAnsi="微软雅黑" w:cs="微软雅黑" w:hint="eastAsia"/>
          <w:sz w:val="24"/>
          <w:szCs w:val="24"/>
        </w:rPr>
        <w:t>海洋生态损害评估技术导则》。</w:t>
      </w:r>
    </w:p>
    <w:p w14:paraId="1522D2AE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油污源风险评估模型</w:t>
      </w:r>
    </w:p>
    <w:p w14:paraId="3B4246C3" w14:textId="77777777" w:rsidR="00E07702" w:rsidRDefault="00112FA8">
      <w:pPr>
        <w:widowControl/>
        <w:numPr>
          <w:ilvl w:val="1"/>
          <w:numId w:val="3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功能</w:t>
      </w:r>
      <w:r>
        <w:rPr>
          <w:rFonts w:ascii="微软雅黑" w:eastAsia="微软雅黑" w:hAnsi="微软雅黑" w:cs="微软雅黑" w:hint="eastAsia"/>
          <w:sz w:val="24"/>
          <w:szCs w:val="24"/>
        </w:rPr>
        <w:t>：结合历史事故数据与漂移预测，回溯最大风险点位。</w:t>
      </w:r>
    </w:p>
    <w:p w14:paraId="26FC11BB" w14:textId="77777777" w:rsidR="00E07702" w:rsidRDefault="00112FA8">
      <w:pPr>
        <w:widowControl/>
        <w:numPr>
          <w:ilvl w:val="1"/>
          <w:numId w:val="3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输出</w:t>
      </w:r>
      <w:r>
        <w:rPr>
          <w:rFonts w:ascii="微软雅黑" w:eastAsia="微软雅黑" w:hAnsi="微软雅黑" w:cs="微软雅黑" w:hint="eastAsia"/>
          <w:sz w:val="24"/>
          <w:szCs w:val="24"/>
        </w:rPr>
        <w:t>：风险网格概率分布（</w:t>
      </w:r>
      <w:r>
        <w:rPr>
          <w:rFonts w:ascii="微软雅黑" w:eastAsia="微软雅黑" w:hAnsi="微软雅黑" w:cs="微软雅黑" w:hint="eastAsia"/>
          <w:sz w:val="24"/>
          <w:szCs w:val="24"/>
        </w:rPr>
        <w:t>GIS</w:t>
      </w:r>
      <w:r>
        <w:rPr>
          <w:rFonts w:ascii="微软雅黑" w:eastAsia="微软雅黑" w:hAnsi="微软雅黑" w:cs="微软雅黑" w:hint="eastAsia"/>
          <w:sz w:val="24"/>
          <w:szCs w:val="24"/>
        </w:rPr>
        <w:t>可视化）、敏感区影响预警。</w:t>
      </w:r>
    </w:p>
    <w:p w14:paraId="5C0FB7B2" w14:textId="77777777" w:rsidR="00E07702" w:rsidRDefault="00112FA8">
      <w:pPr>
        <w:pStyle w:val="4"/>
        <w:widowControl/>
        <w:spacing w:beforeAutospacing="0" w:afterAutospacing="0"/>
        <w:rPr>
          <w:rFonts w:hint="default"/>
        </w:rPr>
      </w:pPr>
      <w:r>
        <w:rPr>
          <w:rStyle w:val="a8"/>
          <w:rFonts w:ascii="微软雅黑" w:eastAsia="微软雅黑" w:hAnsi="微软雅黑" w:cs="微软雅黑"/>
          <w:b/>
        </w:rPr>
        <w:t xml:space="preserve">2. </w:t>
      </w:r>
      <w:r>
        <w:rPr>
          <w:rStyle w:val="a8"/>
          <w:rFonts w:ascii="微软雅黑" w:eastAsia="微软雅黑" w:hAnsi="微软雅黑" w:cs="微软雅黑"/>
          <w:b/>
        </w:rPr>
        <w:t>系统功能关键技术指标</w:t>
      </w:r>
    </w:p>
    <w:p w14:paraId="7ED48283" w14:textId="77777777" w:rsidR="00E07702" w:rsidRDefault="00112FA8">
      <w:pPr>
        <w:widowControl/>
        <w:numPr>
          <w:ilvl w:val="1"/>
          <w:numId w:val="4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服务稳定性</w:t>
      </w:r>
      <w:r>
        <w:rPr>
          <w:rFonts w:ascii="微软雅黑" w:eastAsia="微软雅黑" w:hAnsi="微软雅黑" w:cs="微软雅黑" w:hint="eastAsia"/>
          <w:sz w:val="24"/>
          <w:szCs w:val="24"/>
        </w:rPr>
        <w:t>：连续运行≥</w:t>
      </w:r>
      <w:r>
        <w:rPr>
          <w:rFonts w:ascii="微软雅黑" w:eastAsia="微软雅黑" w:hAnsi="微软雅黑" w:cs="微软雅黑" w:hint="eastAsia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sz w:val="24"/>
          <w:szCs w:val="24"/>
        </w:rPr>
        <w:t>天，故障恢复时间≤</w:t>
      </w:r>
      <w:r>
        <w:rPr>
          <w:rFonts w:ascii="微软雅黑" w:eastAsia="微软雅黑" w:hAnsi="微软雅黑" w:cs="微软雅黑" w:hint="eastAsia"/>
          <w:sz w:val="24"/>
          <w:szCs w:val="24"/>
        </w:rPr>
        <w:t>30</w:t>
      </w:r>
      <w:r>
        <w:rPr>
          <w:rFonts w:ascii="微软雅黑" w:eastAsia="微软雅黑" w:hAnsi="微软雅黑" w:cs="微软雅黑" w:hint="eastAsia"/>
          <w:sz w:val="24"/>
          <w:szCs w:val="24"/>
        </w:rPr>
        <w:t>分钟。</w:t>
      </w:r>
    </w:p>
    <w:p w14:paraId="40111951" w14:textId="77777777" w:rsidR="00E07702" w:rsidRDefault="00112FA8">
      <w:pPr>
        <w:widowControl/>
        <w:numPr>
          <w:ilvl w:val="1"/>
          <w:numId w:val="4"/>
        </w:numPr>
        <w:spacing w:before="30"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用户规模</w:t>
      </w:r>
      <w:r>
        <w:rPr>
          <w:rFonts w:ascii="微软雅黑" w:eastAsia="微软雅黑" w:hAnsi="微软雅黑" w:cs="微软雅黑" w:hint="eastAsia"/>
          <w:sz w:val="24"/>
          <w:szCs w:val="24"/>
        </w:rPr>
        <w:t>：支持≥</w:t>
      </w: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个用户单位同时使用。</w:t>
      </w:r>
    </w:p>
    <w:p w14:paraId="079ADE8C" w14:textId="77777777" w:rsidR="00E07702" w:rsidRDefault="00112FA8">
      <w:pPr>
        <w:widowControl/>
        <w:numPr>
          <w:ilvl w:val="1"/>
          <w:numId w:val="4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响应时间</w:t>
      </w:r>
      <w:r>
        <w:rPr>
          <w:rFonts w:ascii="微软雅黑" w:eastAsia="微软雅黑" w:hAnsi="微软雅黑" w:cs="微软雅黑" w:hint="eastAsia"/>
          <w:sz w:val="24"/>
          <w:szCs w:val="24"/>
        </w:rPr>
        <w:t>：地图操作、数据查询、预警生成等核心功能响应时间≤</w:t>
      </w: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秒。</w:t>
      </w:r>
    </w:p>
    <w:p w14:paraId="53117045" w14:textId="77777777" w:rsidR="00E07702" w:rsidRDefault="00112FA8">
      <w:pPr>
        <w:widowControl/>
        <w:numPr>
          <w:ilvl w:val="1"/>
          <w:numId w:val="5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数据接入</w:t>
      </w:r>
      <w:r>
        <w:rPr>
          <w:rFonts w:ascii="微软雅黑" w:eastAsia="微软雅黑" w:hAnsi="微软雅黑" w:cs="微软雅黑" w:hint="eastAsia"/>
          <w:sz w:val="24"/>
          <w:szCs w:val="24"/>
        </w:rPr>
        <w:t>：支持外部自定义流数据（如风场、流场）实时接入。</w:t>
      </w:r>
    </w:p>
    <w:p w14:paraId="2A5CE305" w14:textId="77777777" w:rsidR="00E07702" w:rsidRDefault="00112FA8">
      <w:pPr>
        <w:widowControl/>
        <w:numPr>
          <w:ilvl w:val="1"/>
          <w:numId w:val="6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交互操作</w:t>
      </w:r>
      <w:r>
        <w:rPr>
          <w:rFonts w:ascii="微软雅黑" w:eastAsia="微软雅黑" w:hAnsi="微软雅黑" w:cs="微软雅黑" w:hint="eastAsia"/>
          <w:sz w:val="24"/>
          <w:szCs w:val="24"/>
        </w:rPr>
        <w:t>：支持地图缩放、测距、标注、动态图层叠加（卫星遥感、多波束声呐等）。</w:t>
      </w:r>
    </w:p>
    <w:p w14:paraId="5A14AD5B" w14:textId="77777777" w:rsidR="00E07702" w:rsidRDefault="00112FA8">
      <w:pPr>
        <w:pStyle w:val="4"/>
        <w:widowControl/>
        <w:spacing w:beforeAutospacing="0" w:afterAutospacing="0"/>
        <w:rPr>
          <w:rFonts w:hint="default"/>
        </w:rPr>
      </w:pPr>
      <w:r>
        <w:rPr>
          <w:rStyle w:val="a8"/>
          <w:rFonts w:ascii="微软雅黑" w:eastAsia="微软雅黑" w:hAnsi="微软雅黑" w:cs="微软雅黑"/>
          <w:b/>
        </w:rPr>
        <w:t xml:space="preserve">3. </w:t>
      </w:r>
      <w:r>
        <w:rPr>
          <w:rStyle w:val="a8"/>
          <w:rFonts w:ascii="微软雅黑" w:eastAsia="微软雅黑" w:hAnsi="微软雅黑" w:cs="微软雅黑"/>
          <w:b/>
        </w:rPr>
        <w:t>技术架构关键技术指标</w:t>
      </w:r>
    </w:p>
    <w:p w14:paraId="706D0CA2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系统分层设计</w:t>
      </w:r>
    </w:p>
    <w:p w14:paraId="2410F27D" w14:textId="77777777" w:rsidR="00E07702" w:rsidRDefault="00112FA8">
      <w:pPr>
        <w:widowControl/>
        <w:numPr>
          <w:ilvl w:val="1"/>
          <w:numId w:val="7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lastRenderedPageBreak/>
        <w:t>数据存储层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PostgreSQL</w:t>
      </w:r>
      <w:r>
        <w:rPr>
          <w:rFonts w:ascii="微软雅黑" w:eastAsia="微软雅黑" w:hAnsi="微软雅黑" w:cs="微软雅黑" w:hint="eastAsia"/>
          <w:sz w:val="24"/>
          <w:szCs w:val="24"/>
        </w:rPr>
        <w:t>关系型数据库、</w:t>
      </w:r>
      <w:r>
        <w:rPr>
          <w:rFonts w:ascii="微软雅黑" w:eastAsia="微软雅黑" w:hAnsi="微软雅黑" w:cs="微软雅黑" w:hint="eastAsia"/>
          <w:sz w:val="24"/>
          <w:szCs w:val="24"/>
        </w:rPr>
        <w:t>Redis</w:t>
      </w:r>
      <w:r>
        <w:rPr>
          <w:rFonts w:ascii="微软雅黑" w:eastAsia="微软雅黑" w:hAnsi="微软雅黑" w:cs="微软雅黑" w:hint="eastAsia"/>
          <w:sz w:val="24"/>
          <w:szCs w:val="24"/>
        </w:rPr>
        <w:t>缓存。</w:t>
      </w:r>
    </w:p>
    <w:p w14:paraId="50C9A6FC" w14:textId="77777777" w:rsidR="00E07702" w:rsidRDefault="00112FA8">
      <w:pPr>
        <w:widowControl/>
        <w:numPr>
          <w:ilvl w:val="1"/>
          <w:numId w:val="7"/>
        </w:numPr>
        <w:spacing w:before="30"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业务服务层</w:t>
      </w:r>
      <w:r>
        <w:rPr>
          <w:rFonts w:ascii="微软雅黑" w:eastAsia="微软雅黑" w:hAnsi="微软雅黑" w:cs="微软雅黑" w:hint="eastAsia"/>
          <w:sz w:val="24"/>
          <w:szCs w:val="24"/>
        </w:rPr>
        <w:t>：模块化部署（预警、评估、溯源）。</w:t>
      </w:r>
    </w:p>
    <w:p w14:paraId="2D4147D0" w14:textId="77777777" w:rsidR="00E07702" w:rsidRDefault="00112FA8">
      <w:pPr>
        <w:widowControl/>
        <w:numPr>
          <w:ilvl w:val="1"/>
          <w:numId w:val="7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前端展示层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Vue.js + WebGL</w:t>
      </w:r>
      <w:r>
        <w:rPr>
          <w:rFonts w:ascii="微软雅黑" w:eastAsia="微软雅黑" w:hAnsi="微软雅黑" w:cs="微软雅黑" w:hint="eastAsia"/>
          <w:sz w:val="24"/>
          <w:szCs w:val="24"/>
        </w:rPr>
        <w:t>，支持多终端访问。</w:t>
      </w:r>
    </w:p>
    <w:p w14:paraId="10D22029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接口规范</w:t>
      </w:r>
    </w:p>
    <w:p w14:paraId="4958422D" w14:textId="77777777" w:rsidR="00E07702" w:rsidRDefault="00112FA8">
      <w:pPr>
        <w:widowControl/>
        <w:numPr>
          <w:ilvl w:val="1"/>
          <w:numId w:val="8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通信协议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RESTful API</w:t>
      </w:r>
      <w:r>
        <w:rPr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Fonts w:ascii="微软雅黑" w:eastAsia="微软雅黑" w:hAnsi="微软雅黑" w:cs="微软雅黑" w:hint="eastAsia"/>
          <w:sz w:val="24"/>
          <w:szCs w:val="24"/>
        </w:rPr>
        <w:t>GET/POST/PUT/DELETE</w:t>
      </w:r>
      <w:r>
        <w:rPr>
          <w:rFonts w:ascii="微软雅黑" w:eastAsia="微软雅黑" w:hAnsi="微软雅黑" w:cs="微软雅黑" w:hint="eastAsia"/>
          <w:sz w:val="24"/>
          <w:szCs w:val="24"/>
        </w:rPr>
        <w:t>）。</w:t>
      </w:r>
    </w:p>
    <w:p w14:paraId="17CE5538" w14:textId="77777777" w:rsidR="00E07702" w:rsidRDefault="00112FA8">
      <w:pPr>
        <w:widowControl/>
        <w:numPr>
          <w:ilvl w:val="1"/>
          <w:numId w:val="8"/>
        </w:numPr>
        <w:spacing w:before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数据格式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JSON/XML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</w:rPr>
        <w:t>GeoJSON</w:t>
      </w:r>
      <w:r>
        <w:rPr>
          <w:rFonts w:ascii="微软雅黑" w:eastAsia="微软雅黑" w:hAnsi="微软雅黑" w:cs="微软雅黑" w:hint="eastAsia"/>
          <w:sz w:val="24"/>
          <w:szCs w:val="24"/>
        </w:rPr>
        <w:t>空间数据交互。</w:t>
      </w:r>
    </w:p>
    <w:p w14:paraId="1E3925DF" w14:textId="77777777" w:rsidR="00E07702" w:rsidRDefault="00112FA8">
      <w:pPr>
        <w:pStyle w:val="a7"/>
        <w:widowControl/>
        <w:spacing w:beforeAutospacing="0" w:afterAutospacing="0" w:line="245" w:lineRule="atLeast"/>
        <w:ind w:left="720"/>
        <w:jc w:val="both"/>
        <w:rPr>
          <w:szCs w:val="24"/>
        </w:rPr>
      </w:pPr>
      <w:r>
        <w:rPr>
          <w:rStyle w:val="a8"/>
          <w:rFonts w:ascii="微软雅黑" w:eastAsia="微软雅黑" w:hAnsi="微软雅黑" w:cs="微软雅黑" w:hint="eastAsia"/>
          <w:szCs w:val="24"/>
        </w:rPr>
        <w:t>扩展性与兼容性</w:t>
      </w:r>
    </w:p>
    <w:p w14:paraId="499542A8" w14:textId="77777777" w:rsidR="00E07702" w:rsidRDefault="00112FA8">
      <w:pPr>
        <w:widowControl/>
        <w:numPr>
          <w:ilvl w:val="1"/>
          <w:numId w:val="9"/>
        </w:numPr>
        <w:spacing w:after="30" w:line="245" w:lineRule="atLeast"/>
        <w:rPr>
          <w:sz w:val="24"/>
          <w:szCs w:val="24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模块解耦</w:t>
      </w:r>
      <w:r>
        <w:rPr>
          <w:rFonts w:ascii="微软雅黑" w:eastAsia="微软雅黑" w:hAnsi="微软雅黑" w:cs="微软雅黑" w:hint="eastAsia"/>
          <w:sz w:val="24"/>
          <w:szCs w:val="24"/>
        </w:rPr>
        <w:t>：业务逻辑与数据存储分离，支持独立部署与升级。</w:t>
      </w:r>
    </w:p>
    <w:p w14:paraId="7F5CCA11" w14:textId="77777777" w:rsidR="00E07702" w:rsidRDefault="00112FA8">
      <w:pPr>
        <w:widowControl/>
        <w:numPr>
          <w:ilvl w:val="1"/>
          <w:numId w:val="9"/>
        </w:numPr>
        <w:spacing w:before="30" w:line="245" w:lineRule="atLeast"/>
        <w:rPr>
          <w:sz w:val="28"/>
          <w:szCs w:val="32"/>
        </w:rPr>
      </w:pPr>
      <w:r>
        <w:rPr>
          <w:rStyle w:val="a8"/>
          <w:rFonts w:ascii="微软雅黑" w:eastAsia="微软雅黑" w:hAnsi="微软雅黑" w:cs="微软雅黑" w:hint="eastAsia"/>
          <w:sz w:val="24"/>
          <w:szCs w:val="24"/>
        </w:rPr>
        <w:t>多源数据融合</w:t>
      </w:r>
      <w:r>
        <w:rPr>
          <w:rFonts w:ascii="微软雅黑" w:eastAsia="微软雅黑" w:hAnsi="微软雅黑" w:cs="微软雅黑" w:hint="eastAsia"/>
          <w:sz w:val="24"/>
          <w:szCs w:val="24"/>
        </w:rPr>
        <w:t>：兼容卫星遥感、无人机航拍、水样检测等多类型数据。</w:t>
      </w:r>
    </w:p>
    <w:sectPr w:rsidR="00E0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B187" w14:textId="77777777" w:rsidR="00112FA8" w:rsidRDefault="00112FA8" w:rsidP="00C54627">
      <w:r>
        <w:separator/>
      </w:r>
    </w:p>
  </w:endnote>
  <w:endnote w:type="continuationSeparator" w:id="0">
    <w:p w14:paraId="4CB2B6DC" w14:textId="77777777" w:rsidR="00112FA8" w:rsidRDefault="00112FA8" w:rsidP="00C5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88BC" w14:textId="77777777" w:rsidR="00112FA8" w:rsidRDefault="00112FA8" w:rsidP="00C54627">
      <w:r>
        <w:separator/>
      </w:r>
    </w:p>
  </w:footnote>
  <w:footnote w:type="continuationSeparator" w:id="0">
    <w:p w14:paraId="51ADD4AB" w14:textId="77777777" w:rsidR="00112FA8" w:rsidRDefault="00112FA8" w:rsidP="00C5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1722F5"/>
    <w:multiLevelType w:val="multilevel"/>
    <w:tmpl w:val="A41722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EFD816"/>
    <w:multiLevelType w:val="multilevel"/>
    <w:tmpl w:val="18EFD8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8D0FE1E"/>
    <w:multiLevelType w:val="multilevel"/>
    <w:tmpl w:val="58D0F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36"/>
    <w:rsid w:val="00112087"/>
    <w:rsid w:val="00112FA8"/>
    <w:rsid w:val="009D1F36"/>
    <w:rsid w:val="00C54627"/>
    <w:rsid w:val="00D960F8"/>
    <w:rsid w:val="00DE455D"/>
    <w:rsid w:val="00E07702"/>
    <w:rsid w:val="37F72880"/>
    <w:rsid w:val="5825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645DC"/>
  <w15:docId w15:val="{F1F1AC68-72CF-4CFE-85D7-ADC9A114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朦 王</dc:creator>
  <cp:lastModifiedBy>Teng Fei</cp:lastModifiedBy>
  <cp:revision>2</cp:revision>
  <dcterms:created xsi:type="dcterms:W3CDTF">2025-03-14T06:02:00Z</dcterms:created>
  <dcterms:modified xsi:type="dcterms:W3CDTF">2025-03-14T06:02:00Z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eyJoZGlkIjoiZjFmZWIzNDg2MmIzZjExOTIzMmViNTBmYTMwYTk0ZWYiLCJ1c2VySWQiOiIxMTY0Nzk0NzU0In0=</vt:lpwstr>
  </property>
  <property fmtid="{D5CDD505-2E9C-101B-9397-08002B2CF9AE}" pid="3" name="KSOProductBuildVer">
    <vt:lpwstr>2052-12.1.0.20305</vt:lpwstr>
  </property>
  <property fmtid="{D5CDD505-2E9C-101B-9397-08002B2CF9AE}" pid="4" name="ICV">
    <vt:lpwstr>485B6659585C45779F27FB472146CA8C_12</vt:lpwstr>
  </property>
</Properties>
</file>