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99846" w14:textId="77777777" w:rsidR="00570431" w:rsidRDefault="00570431">
      <w:pPr>
        <w:jc w:val="center"/>
        <w:rPr>
          <w:rFonts w:eastAsia="楷体_GB2312"/>
          <w:b/>
          <w:sz w:val="52"/>
        </w:rPr>
      </w:pPr>
    </w:p>
    <w:p w14:paraId="0A52D6A4" w14:textId="77777777" w:rsidR="00570431" w:rsidRDefault="00570431">
      <w:pPr>
        <w:jc w:val="center"/>
        <w:rPr>
          <w:rFonts w:eastAsia="楷体_GB2312"/>
          <w:b/>
          <w:sz w:val="52"/>
        </w:rPr>
      </w:pPr>
    </w:p>
    <w:p w14:paraId="73F0C308" w14:textId="077D33A6" w:rsidR="00570431" w:rsidRDefault="00653738">
      <w:pPr>
        <w:jc w:val="center"/>
        <w:rPr>
          <w:rFonts w:eastAsia="楷体_GB2312"/>
          <w:b/>
          <w:sz w:val="18"/>
        </w:rPr>
      </w:pPr>
      <w:r>
        <w:rPr>
          <w:rFonts w:eastAsia="楷体_GB2312" w:hint="eastAsia"/>
          <w:b/>
          <w:sz w:val="52"/>
        </w:rPr>
        <w:t>气象数据处理及多源水文气象数据可视化</w:t>
      </w:r>
      <w:r w:rsidR="00322F5C">
        <w:rPr>
          <w:rFonts w:eastAsia="楷体_GB2312" w:hint="eastAsia"/>
          <w:b/>
          <w:sz w:val="52"/>
        </w:rPr>
        <w:t>辅助</w:t>
      </w:r>
      <w:r w:rsidR="009535BA">
        <w:rPr>
          <w:rFonts w:eastAsia="楷体_GB2312" w:hint="eastAsia"/>
          <w:b/>
          <w:sz w:val="52"/>
        </w:rPr>
        <w:t>服务</w:t>
      </w:r>
    </w:p>
    <w:p w14:paraId="230607B3" w14:textId="77777777" w:rsidR="00570431" w:rsidRDefault="00570431">
      <w:pPr>
        <w:rPr>
          <w:rFonts w:eastAsia="楷体_GB2312"/>
          <w:b/>
          <w:sz w:val="18"/>
        </w:rPr>
      </w:pPr>
    </w:p>
    <w:p w14:paraId="3ED94ED8" w14:textId="77777777" w:rsidR="00570431" w:rsidRDefault="00E726D8">
      <w:pPr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48"/>
        </w:rPr>
        <w:t>技</w:t>
      </w:r>
      <w:r>
        <w:rPr>
          <w:rFonts w:eastAsia="楷体_GB2312" w:hint="eastAsia"/>
          <w:b/>
          <w:sz w:val="48"/>
        </w:rPr>
        <w:t xml:space="preserve"> </w:t>
      </w:r>
      <w:r>
        <w:rPr>
          <w:rFonts w:eastAsia="楷体_GB2312" w:hint="eastAsia"/>
          <w:b/>
          <w:sz w:val="48"/>
        </w:rPr>
        <w:t>术</w:t>
      </w:r>
      <w:r>
        <w:rPr>
          <w:rFonts w:eastAsia="楷体_GB2312" w:hint="eastAsia"/>
          <w:b/>
          <w:sz w:val="48"/>
        </w:rPr>
        <w:t xml:space="preserve"> </w:t>
      </w:r>
      <w:r>
        <w:rPr>
          <w:rFonts w:eastAsia="楷体_GB2312" w:hint="eastAsia"/>
          <w:b/>
          <w:sz w:val="48"/>
        </w:rPr>
        <w:t>需</w:t>
      </w:r>
      <w:r>
        <w:rPr>
          <w:rFonts w:eastAsia="楷体_GB2312" w:hint="eastAsia"/>
          <w:b/>
          <w:sz w:val="48"/>
        </w:rPr>
        <w:t xml:space="preserve"> </w:t>
      </w:r>
      <w:r>
        <w:rPr>
          <w:rFonts w:eastAsia="楷体_GB2312" w:hint="eastAsia"/>
          <w:b/>
          <w:sz w:val="48"/>
        </w:rPr>
        <w:t>求</w:t>
      </w:r>
    </w:p>
    <w:p w14:paraId="4DEDC2D1" w14:textId="77777777" w:rsidR="00570431" w:rsidRDefault="00570431">
      <w:pPr>
        <w:jc w:val="center"/>
        <w:rPr>
          <w:rFonts w:eastAsia="楷体_GB2312"/>
          <w:b/>
          <w:sz w:val="48"/>
        </w:rPr>
      </w:pPr>
    </w:p>
    <w:p w14:paraId="31B4D5DD" w14:textId="77777777" w:rsidR="00570431" w:rsidRDefault="00570431">
      <w:pPr>
        <w:jc w:val="center"/>
        <w:rPr>
          <w:rFonts w:eastAsia="楷体_GB2312"/>
          <w:b/>
          <w:sz w:val="44"/>
        </w:rPr>
      </w:pPr>
    </w:p>
    <w:p w14:paraId="72AD9F9F" w14:textId="77777777" w:rsidR="00570431" w:rsidRDefault="00570431">
      <w:pPr>
        <w:rPr>
          <w:rFonts w:eastAsia="楷体_GB2312"/>
          <w:b/>
          <w:sz w:val="32"/>
        </w:rPr>
      </w:pPr>
    </w:p>
    <w:p w14:paraId="40558697" w14:textId="77777777" w:rsidR="00570431" w:rsidRDefault="00570431"/>
    <w:p w14:paraId="021A76D3" w14:textId="77777777" w:rsidR="00570431" w:rsidRDefault="00570431">
      <w:pPr>
        <w:pStyle w:val="2"/>
      </w:pPr>
    </w:p>
    <w:p w14:paraId="15A8328C" w14:textId="77777777" w:rsidR="00570431" w:rsidRDefault="00570431">
      <w:pPr>
        <w:pStyle w:val="2"/>
      </w:pPr>
    </w:p>
    <w:p w14:paraId="63C0126D" w14:textId="77777777" w:rsidR="00570431" w:rsidRDefault="00570431">
      <w:pPr>
        <w:rPr>
          <w:rFonts w:eastAsia="楷体_GB2312"/>
          <w:b/>
          <w:sz w:val="32"/>
        </w:rPr>
      </w:pPr>
    </w:p>
    <w:p w14:paraId="3AE0C489" w14:textId="77777777" w:rsidR="00570431" w:rsidRDefault="00570431"/>
    <w:p w14:paraId="3A8B1B70" w14:textId="77777777" w:rsidR="00570431" w:rsidRDefault="00E726D8">
      <w:pPr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申请人签名：</w:t>
      </w:r>
      <w:r>
        <w:rPr>
          <w:rFonts w:eastAsia="楷体_GB2312" w:hint="eastAsia"/>
          <w:b/>
          <w:sz w:val="32"/>
        </w:rPr>
        <w:t xml:space="preserve">  </w:t>
      </w:r>
    </w:p>
    <w:p w14:paraId="7A790DE5" w14:textId="7AB96F51" w:rsidR="00570431" w:rsidRDefault="005E75D0" w:rsidP="005E75D0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/>
          <w:b/>
          <w:sz w:val="32"/>
        </w:rPr>
        <w:t xml:space="preserve">  </w:t>
      </w:r>
      <w:r w:rsidR="00E726D8">
        <w:rPr>
          <w:rFonts w:eastAsia="楷体_GB2312" w:hint="eastAsia"/>
          <w:b/>
          <w:sz w:val="32"/>
        </w:rPr>
        <w:t>填报单位及部门</w:t>
      </w:r>
      <w:r w:rsidR="00E726D8">
        <w:rPr>
          <w:rFonts w:eastAsia="楷体_GB2312" w:hint="eastAsia"/>
          <w:b/>
          <w:sz w:val="32"/>
        </w:rPr>
        <w:t>(</w:t>
      </w:r>
      <w:r w:rsidR="00E726D8">
        <w:rPr>
          <w:rFonts w:eastAsia="楷体_GB2312" w:hint="eastAsia"/>
          <w:b/>
          <w:sz w:val="32"/>
        </w:rPr>
        <w:t>盖章</w:t>
      </w:r>
      <w:r w:rsidR="00E726D8">
        <w:rPr>
          <w:rFonts w:eastAsia="楷体_GB2312" w:hint="eastAsia"/>
          <w:b/>
          <w:sz w:val="32"/>
        </w:rPr>
        <w:t>)</w:t>
      </w:r>
      <w:r w:rsidR="00E726D8">
        <w:rPr>
          <w:rFonts w:eastAsia="楷体_GB2312" w:hint="eastAsia"/>
          <w:b/>
          <w:sz w:val="32"/>
        </w:rPr>
        <w:t>：</w:t>
      </w:r>
      <w:r w:rsidR="00E726D8">
        <w:rPr>
          <w:rFonts w:eastAsia="楷体_GB2312" w:hint="eastAsia"/>
          <w:b/>
          <w:sz w:val="32"/>
        </w:rPr>
        <w:t xml:space="preserve"> </w:t>
      </w:r>
      <w:bookmarkStart w:id="0" w:name="dw1"/>
      <w:bookmarkEnd w:id="0"/>
      <w:r w:rsidR="00E726D8">
        <w:rPr>
          <w:rFonts w:eastAsia="楷体_GB2312" w:hint="eastAsia"/>
          <w:b/>
          <w:sz w:val="32"/>
        </w:rPr>
        <w:t>自然资源部第一海洋研究所海洋环境与数值模拟研究室</w:t>
      </w:r>
    </w:p>
    <w:p w14:paraId="28E9C09D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600EEC34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41655A4B" w14:textId="710E754F" w:rsidR="00570431" w:rsidRDefault="00E726D8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fldChar w:fldCharType="begin"/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ascii="宋体" w:hAnsi="宋体" w:hint="eastAsia"/>
          <w:b/>
          <w:sz w:val="32"/>
        </w:rPr>
        <w:instrText>TIME \@ "EEEE</w:instrText>
      </w:r>
      <w:r>
        <w:rPr>
          <w:rFonts w:ascii="宋体" w:hAnsi="宋体" w:hint="eastAsia"/>
          <w:b/>
          <w:sz w:val="32"/>
        </w:rPr>
        <w:instrText>年</w:instrText>
      </w:r>
      <w:r>
        <w:rPr>
          <w:rFonts w:ascii="宋体" w:hAnsi="宋体" w:hint="eastAsia"/>
          <w:b/>
          <w:sz w:val="32"/>
        </w:rPr>
        <w:instrText>O</w:instrText>
      </w:r>
      <w:r>
        <w:rPr>
          <w:rFonts w:ascii="宋体" w:hAnsi="宋体" w:hint="eastAsia"/>
          <w:b/>
          <w:sz w:val="32"/>
        </w:rPr>
        <w:instrText>月</w:instrText>
      </w:r>
      <w:r>
        <w:rPr>
          <w:rFonts w:ascii="宋体" w:hAnsi="宋体" w:hint="eastAsia"/>
          <w:b/>
          <w:sz w:val="32"/>
        </w:rPr>
        <w:instrText>A</w:instrText>
      </w:r>
      <w:r>
        <w:rPr>
          <w:rFonts w:ascii="宋体" w:hAnsi="宋体" w:hint="eastAsia"/>
          <w:b/>
          <w:sz w:val="32"/>
        </w:rPr>
        <w:instrText>日</w:instrText>
      </w:r>
      <w:r>
        <w:rPr>
          <w:rFonts w:ascii="宋体" w:hAnsi="宋体" w:hint="eastAsia"/>
          <w:b/>
          <w:sz w:val="32"/>
        </w:rPr>
        <w:instrText>"</w:instrText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ascii="宋体" w:hAnsi="宋体"/>
          <w:b/>
          <w:sz w:val="32"/>
        </w:rPr>
        <w:fldChar w:fldCharType="separate"/>
      </w:r>
      <w:r w:rsidR="005E75D0">
        <w:rPr>
          <w:rFonts w:ascii="宋体" w:hAnsi="宋体" w:hint="eastAsia"/>
          <w:b/>
          <w:noProof/>
          <w:sz w:val="32"/>
        </w:rPr>
        <w:t>二〇二五年六月五日</w:t>
      </w:r>
      <w:r>
        <w:rPr>
          <w:rFonts w:ascii="宋体" w:hAnsi="宋体"/>
          <w:b/>
          <w:sz w:val="32"/>
        </w:rPr>
        <w:fldChar w:fldCharType="end"/>
      </w:r>
    </w:p>
    <w:p w14:paraId="41A83CDA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444F7926" w14:textId="77777777" w:rsidR="00570431" w:rsidRPr="005E75D0" w:rsidRDefault="00570431">
      <w:pPr>
        <w:jc w:val="center"/>
        <w:rPr>
          <w:rFonts w:ascii="宋体" w:hAnsi="宋体"/>
          <w:b/>
          <w:sz w:val="32"/>
        </w:rPr>
        <w:sectPr w:rsidR="00570431" w:rsidRPr="005E75D0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1346C65D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25648E1D" w14:textId="77777777" w:rsidR="00570431" w:rsidRDefault="00E726D8">
      <w:pPr>
        <w:jc w:val="center"/>
        <w:rPr>
          <w:rFonts w:ascii="宋体" w:hAnsi="宋体"/>
          <w:b/>
          <w:sz w:val="32"/>
        </w:rPr>
      </w:pPr>
      <w:r>
        <w:rPr>
          <w:rFonts w:hint="eastAsia"/>
          <w:b/>
          <w:sz w:val="36"/>
        </w:rPr>
        <w:t>目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录</w:t>
      </w:r>
    </w:p>
    <w:p w14:paraId="14733552" w14:textId="77777777" w:rsidR="00570431" w:rsidRDefault="00E726D8">
      <w:pPr>
        <w:pStyle w:val="10"/>
        <w:tabs>
          <w:tab w:val="right" w:leader="dot" w:pos="8306"/>
        </w:tabs>
      </w:pPr>
      <w:r>
        <w:rPr>
          <w:rFonts w:ascii="宋体" w:hAnsi="宋体" w:hint="eastAsia"/>
        </w:rPr>
        <w:fldChar w:fldCharType="begin"/>
      </w:r>
      <w:r>
        <w:rPr>
          <w:rFonts w:ascii="宋体" w:hAnsi="宋体" w:hint="eastAsia"/>
        </w:rPr>
        <w:instrText xml:space="preserve"> TOC \o "1-4" \h  \u </w:instrText>
      </w:r>
      <w:r>
        <w:rPr>
          <w:rFonts w:ascii="宋体" w:hAnsi="宋体" w:hint="eastAsia"/>
        </w:rPr>
        <w:fldChar w:fldCharType="separate"/>
      </w:r>
      <w:hyperlink w:anchor="_Toc13430" w:history="1">
        <w:r w:rsidR="00570431">
          <w:t xml:space="preserve">1. </w:t>
        </w:r>
        <w:r w:rsidR="00570431">
          <w:rPr>
            <w:rFonts w:hint="eastAsia"/>
          </w:rPr>
          <w:t>服务内容及要求</w:t>
        </w:r>
        <w:r w:rsidR="00570431">
          <w:tab/>
        </w:r>
        <w:r w:rsidR="00570431">
          <w:fldChar w:fldCharType="begin"/>
        </w:r>
        <w:r w:rsidR="00570431">
          <w:instrText xml:space="preserve"> PAGEREF _Toc13430 \h </w:instrText>
        </w:r>
        <w:r w:rsidR="00570431">
          <w:fldChar w:fldCharType="separate"/>
        </w:r>
        <w:r w:rsidR="00570431">
          <w:t>1</w:t>
        </w:r>
        <w:r w:rsidR="00570431">
          <w:fldChar w:fldCharType="end"/>
        </w:r>
      </w:hyperlink>
    </w:p>
    <w:p w14:paraId="3E7B6EDC" w14:textId="77777777" w:rsidR="00570431" w:rsidRDefault="00E726D8">
      <w:pPr>
        <w:pStyle w:val="10"/>
        <w:tabs>
          <w:tab w:val="right" w:leader="dot" w:pos="8306"/>
        </w:tabs>
      </w:pPr>
      <w:hyperlink w:anchor="_Toc23021" w:history="1">
        <w:r w:rsidR="00570431">
          <w:t xml:space="preserve">2. </w:t>
        </w:r>
        <w:r w:rsidR="00570431">
          <w:rPr>
            <w:rFonts w:hint="eastAsia"/>
          </w:rPr>
          <w:t>售后服务</w:t>
        </w:r>
        <w:r w:rsidR="00570431">
          <w:tab/>
        </w:r>
        <w:r w:rsidR="00570431">
          <w:fldChar w:fldCharType="begin"/>
        </w:r>
        <w:r w:rsidR="00570431">
          <w:instrText xml:space="preserve"> PAGEREF _Toc23021 \h </w:instrText>
        </w:r>
        <w:r w:rsidR="00570431">
          <w:fldChar w:fldCharType="separate"/>
        </w:r>
        <w:r w:rsidR="00570431">
          <w:t>2</w:t>
        </w:r>
        <w:r w:rsidR="00570431">
          <w:fldChar w:fldCharType="end"/>
        </w:r>
      </w:hyperlink>
    </w:p>
    <w:p w14:paraId="4C4A6BD6" w14:textId="77777777" w:rsidR="00570431" w:rsidRDefault="00E726D8">
      <w:pPr>
        <w:pStyle w:val="10"/>
        <w:tabs>
          <w:tab w:val="right" w:leader="dot" w:pos="8306"/>
        </w:tabs>
      </w:pPr>
      <w:hyperlink w:anchor="_Toc20701" w:history="1">
        <w:r w:rsidR="00570431">
          <w:t xml:space="preserve">3. </w:t>
        </w:r>
        <w:r w:rsidR="00570431">
          <w:rPr>
            <w:rFonts w:hint="eastAsia"/>
          </w:rPr>
          <w:t>时间</w:t>
        </w:r>
        <w:r w:rsidR="00570431">
          <w:tab/>
        </w:r>
        <w:r w:rsidR="00570431">
          <w:fldChar w:fldCharType="begin"/>
        </w:r>
        <w:r w:rsidR="00570431">
          <w:instrText xml:space="preserve"> PAGEREF _Toc20701 \h </w:instrText>
        </w:r>
        <w:r w:rsidR="00570431">
          <w:fldChar w:fldCharType="separate"/>
        </w:r>
        <w:r w:rsidR="00570431">
          <w:t>3</w:t>
        </w:r>
        <w:r w:rsidR="00570431">
          <w:fldChar w:fldCharType="end"/>
        </w:r>
      </w:hyperlink>
    </w:p>
    <w:p w14:paraId="696E214D" w14:textId="77777777" w:rsidR="00570431" w:rsidRDefault="00E726D8">
      <w:pPr>
        <w:pStyle w:val="10"/>
        <w:tabs>
          <w:tab w:val="right" w:leader="dot" w:pos="8306"/>
        </w:tabs>
      </w:pPr>
      <w:hyperlink w:anchor="_Toc18946" w:history="1">
        <w:r w:rsidR="00570431">
          <w:t xml:space="preserve">4. </w:t>
        </w:r>
        <w:r w:rsidR="00570431">
          <w:rPr>
            <w:rFonts w:hint="eastAsia"/>
          </w:rPr>
          <w:t>地点</w:t>
        </w:r>
        <w:r w:rsidR="00570431">
          <w:tab/>
        </w:r>
        <w:r w:rsidR="00570431">
          <w:fldChar w:fldCharType="begin"/>
        </w:r>
        <w:r w:rsidR="00570431">
          <w:instrText xml:space="preserve"> PAGEREF _Toc18946 \h </w:instrText>
        </w:r>
        <w:r w:rsidR="00570431">
          <w:fldChar w:fldCharType="separate"/>
        </w:r>
        <w:r w:rsidR="00570431">
          <w:t>3</w:t>
        </w:r>
        <w:r w:rsidR="00570431">
          <w:fldChar w:fldCharType="end"/>
        </w:r>
      </w:hyperlink>
    </w:p>
    <w:p w14:paraId="2F42C2CE" w14:textId="77777777" w:rsidR="00570431" w:rsidRDefault="00E726D8">
      <w:pPr>
        <w:tabs>
          <w:tab w:val="right" w:leader="dot" w:pos="8306"/>
        </w:tabs>
        <w:jc w:val="center"/>
        <w:rPr>
          <w:rFonts w:ascii="宋体" w:hAnsi="宋体"/>
        </w:rPr>
      </w:pPr>
      <w:r>
        <w:rPr>
          <w:rFonts w:ascii="宋体" w:hAnsi="宋体" w:hint="eastAsia"/>
        </w:rPr>
        <w:fldChar w:fldCharType="end"/>
      </w:r>
    </w:p>
    <w:p w14:paraId="2A6126A0" w14:textId="77777777" w:rsidR="00570431" w:rsidRDefault="00570431">
      <w:pPr>
        <w:tabs>
          <w:tab w:val="right" w:leader="dot" w:pos="8306"/>
        </w:tabs>
        <w:jc w:val="center"/>
        <w:rPr>
          <w:rFonts w:ascii="宋体" w:hAnsi="宋体"/>
        </w:rPr>
      </w:pPr>
    </w:p>
    <w:p w14:paraId="1905DBFA" w14:textId="77777777" w:rsidR="00570431" w:rsidRDefault="00E726D8">
      <w:pPr>
        <w:pStyle w:val="1"/>
      </w:pPr>
      <w:bookmarkStart w:id="1" w:name="_GoBack"/>
      <w:bookmarkEnd w:id="1"/>
      <w:r>
        <w:br w:type="page"/>
      </w:r>
      <w:bookmarkStart w:id="2" w:name="_Toc13430"/>
      <w:r>
        <w:rPr>
          <w:rFonts w:hint="eastAsia"/>
        </w:rPr>
        <w:lastRenderedPageBreak/>
        <w:t>服务内容及要求</w:t>
      </w:r>
      <w:bookmarkEnd w:id="2"/>
    </w:p>
    <w:p w14:paraId="6D3DF388" w14:textId="2CAE222B" w:rsidR="00170D0F" w:rsidRDefault="00E726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乙方</w:t>
      </w:r>
      <w:r w:rsidR="009535BA">
        <w:rPr>
          <w:rFonts w:hint="eastAsia"/>
          <w:sz w:val="24"/>
          <w:szCs w:val="24"/>
        </w:rPr>
        <w:t>根据甲方需求</w:t>
      </w:r>
      <w:r w:rsidR="005D51CA">
        <w:rPr>
          <w:rFonts w:hint="eastAsia"/>
          <w:sz w:val="24"/>
          <w:szCs w:val="24"/>
        </w:rPr>
        <w:t>委派</w:t>
      </w:r>
      <w:r>
        <w:rPr>
          <w:rFonts w:hint="eastAsia"/>
          <w:sz w:val="24"/>
          <w:szCs w:val="24"/>
        </w:rPr>
        <w:t>人员，</w:t>
      </w:r>
      <w:r w:rsidR="00170D0F">
        <w:rPr>
          <w:rFonts w:hint="eastAsia"/>
          <w:sz w:val="24"/>
          <w:szCs w:val="24"/>
        </w:rPr>
        <w:t>在合同签订后</w:t>
      </w:r>
      <w:r w:rsidR="00170D0F">
        <w:rPr>
          <w:rFonts w:hint="eastAsia"/>
          <w:sz w:val="24"/>
          <w:szCs w:val="24"/>
        </w:rPr>
        <w:t>2</w:t>
      </w:r>
      <w:r w:rsidR="00170D0F">
        <w:rPr>
          <w:rFonts w:hint="eastAsia"/>
          <w:sz w:val="24"/>
          <w:szCs w:val="24"/>
        </w:rPr>
        <w:t>个月内协助甲方人员完成</w:t>
      </w:r>
      <w:r w:rsidR="00653738" w:rsidRPr="00653738">
        <w:rPr>
          <w:rFonts w:hint="eastAsia"/>
          <w:sz w:val="24"/>
          <w:szCs w:val="24"/>
        </w:rPr>
        <w:t>气象数据处理及</w:t>
      </w:r>
      <w:bookmarkStart w:id="3" w:name="_Hlk200004201"/>
      <w:r w:rsidR="00653738" w:rsidRPr="00653738">
        <w:rPr>
          <w:rFonts w:hint="eastAsia"/>
          <w:sz w:val="24"/>
          <w:szCs w:val="24"/>
        </w:rPr>
        <w:t>多源水文气象数据可视化</w:t>
      </w:r>
      <w:bookmarkEnd w:id="3"/>
      <w:r w:rsidR="00653738" w:rsidRPr="00653738">
        <w:rPr>
          <w:rFonts w:hint="eastAsia"/>
          <w:sz w:val="24"/>
          <w:szCs w:val="24"/>
        </w:rPr>
        <w:t>辅助服务</w:t>
      </w:r>
      <w:r w:rsidR="00E16560">
        <w:rPr>
          <w:rFonts w:hint="eastAsia"/>
          <w:sz w:val="24"/>
          <w:szCs w:val="24"/>
        </w:rPr>
        <w:t>。相关数据处理及可视化功能，需在</w:t>
      </w:r>
      <w:r w:rsidR="00E16560" w:rsidRPr="00E16560">
        <w:rPr>
          <w:rFonts w:hint="eastAsia"/>
          <w:sz w:val="24"/>
          <w:szCs w:val="24"/>
        </w:rPr>
        <w:t>Windows</w:t>
      </w:r>
      <w:r w:rsidR="00E16560" w:rsidRPr="00E16560">
        <w:rPr>
          <w:rFonts w:hint="eastAsia"/>
          <w:sz w:val="24"/>
          <w:szCs w:val="24"/>
        </w:rPr>
        <w:t>、国产麒麟操作系统、</w:t>
      </w:r>
      <w:r w:rsidR="00E16560" w:rsidRPr="00E16560">
        <w:rPr>
          <w:rFonts w:hint="eastAsia"/>
          <w:sz w:val="24"/>
          <w:szCs w:val="24"/>
        </w:rPr>
        <w:t>Linux</w:t>
      </w:r>
      <w:r w:rsidR="00E16560" w:rsidRPr="00E16560">
        <w:rPr>
          <w:rFonts w:hint="eastAsia"/>
          <w:sz w:val="24"/>
          <w:szCs w:val="24"/>
        </w:rPr>
        <w:t>系统平台</w:t>
      </w:r>
      <w:r w:rsidR="00E16560">
        <w:rPr>
          <w:rFonts w:hint="eastAsia"/>
          <w:sz w:val="24"/>
          <w:szCs w:val="24"/>
        </w:rPr>
        <w:t>兼容实现</w:t>
      </w:r>
      <w:r w:rsidR="00170D0F">
        <w:rPr>
          <w:rFonts w:hint="eastAsia"/>
          <w:sz w:val="24"/>
          <w:szCs w:val="24"/>
        </w:rPr>
        <w:t>。</w:t>
      </w:r>
      <w:r w:rsidR="00E16560">
        <w:rPr>
          <w:rFonts w:hint="eastAsia"/>
          <w:sz w:val="24"/>
          <w:szCs w:val="24"/>
        </w:rPr>
        <w:t>技术服务</w:t>
      </w:r>
      <w:r w:rsidR="003B6126">
        <w:rPr>
          <w:rFonts w:hint="eastAsia"/>
          <w:sz w:val="24"/>
          <w:szCs w:val="24"/>
        </w:rPr>
        <w:t>包括但不限于以下工作内容：</w:t>
      </w:r>
    </w:p>
    <w:p w14:paraId="7571EC4C" w14:textId="42E7D5DE" w:rsidR="00570431" w:rsidRDefault="0065373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气象数据处理</w:t>
      </w:r>
    </w:p>
    <w:p w14:paraId="7610193B" w14:textId="3D4D45CE" w:rsidR="003423A6" w:rsidRPr="003423A6" w:rsidRDefault="00653738" w:rsidP="003423A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气象卫星数据解析、处理及可视化工作</w:t>
      </w:r>
      <w:r w:rsidRPr="003B6126">
        <w:rPr>
          <w:rFonts w:ascii="宋体" w:hAnsi="宋体" w:hint="eastAsia"/>
          <w:sz w:val="24"/>
          <w:szCs w:val="24"/>
        </w:rPr>
        <w:t>；</w:t>
      </w:r>
      <w:r w:rsidR="003423A6" w:rsidRPr="003423A6">
        <w:rPr>
          <w:rFonts w:ascii="宋体" w:hAnsi="宋体" w:hint="eastAsia"/>
          <w:sz w:val="24"/>
          <w:szCs w:val="24"/>
        </w:rPr>
        <w:t>卫星云图产品显示需实现风云二号、风云四号、葵花等气象卫星可见光云图、红外云图、水汽图、云顶高等内容的直观显示；</w:t>
      </w:r>
    </w:p>
    <w:p w14:paraId="21AAF35B" w14:textId="63CE693B" w:rsidR="003423A6" w:rsidRPr="003423A6" w:rsidRDefault="00653738" w:rsidP="003423A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53738">
        <w:rPr>
          <w:rFonts w:ascii="宋体" w:hAnsi="宋体" w:hint="eastAsia"/>
          <w:sz w:val="24"/>
          <w:szCs w:val="24"/>
        </w:rPr>
        <w:t>气象</w:t>
      </w:r>
      <w:r>
        <w:rPr>
          <w:rFonts w:ascii="宋体" w:hAnsi="宋体" w:hint="eastAsia"/>
          <w:sz w:val="24"/>
          <w:szCs w:val="24"/>
        </w:rPr>
        <w:t>雷达</w:t>
      </w:r>
      <w:r w:rsidRPr="00653738">
        <w:rPr>
          <w:rFonts w:ascii="宋体" w:hAnsi="宋体" w:hint="eastAsia"/>
          <w:sz w:val="24"/>
          <w:szCs w:val="24"/>
        </w:rPr>
        <w:t>数据解析、处理及可视化工作</w:t>
      </w:r>
      <w:r>
        <w:rPr>
          <w:rFonts w:ascii="宋体" w:hAnsi="宋体" w:hint="eastAsia"/>
          <w:sz w:val="24"/>
          <w:szCs w:val="24"/>
        </w:rPr>
        <w:t>；</w:t>
      </w:r>
      <w:r w:rsidR="003423A6" w:rsidRPr="003423A6">
        <w:rPr>
          <w:rFonts w:ascii="宋体" w:hAnsi="宋体" w:hint="eastAsia"/>
          <w:sz w:val="24"/>
          <w:szCs w:val="24"/>
        </w:rPr>
        <w:t>天气雷达显示需实现单站雷达探测速度、强度显示，支持平扫、动画显示，支持雷达拼图的动画显示。通过选取历史的雷达数据和卫星数据，建立训练集和测试集，外推0-3小时短时临近预报产品，并支持动画显示；</w:t>
      </w:r>
    </w:p>
    <w:p w14:paraId="6C2EF5C1" w14:textId="53DB6E51" w:rsidR="003B6126" w:rsidRPr="003B6126" w:rsidRDefault="003B6126" w:rsidP="003B6126">
      <w:pPr>
        <w:pStyle w:val="af1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配合甲方完成</w:t>
      </w:r>
      <w:r>
        <w:rPr>
          <w:rFonts w:ascii="宋体" w:hAnsi="宋体" w:hint="eastAsia"/>
          <w:sz w:val="24"/>
          <w:szCs w:val="24"/>
        </w:rPr>
        <w:t>数据处理</w:t>
      </w:r>
      <w:r w:rsidRPr="003B6126">
        <w:rPr>
          <w:rFonts w:ascii="宋体" w:hAnsi="宋体" w:hint="eastAsia"/>
          <w:sz w:val="24"/>
          <w:szCs w:val="24"/>
        </w:rPr>
        <w:t>相关报告的编写工作。</w:t>
      </w:r>
    </w:p>
    <w:p w14:paraId="536E95DA" w14:textId="2CD5D810" w:rsidR="00570431" w:rsidRPr="003B6126" w:rsidRDefault="003423A6" w:rsidP="003B6126">
      <w:pPr>
        <w:numPr>
          <w:ilvl w:val="0"/>
          <w:numId w:val="2"/>
        </w:numPr>
        <w:rPr>
          <w:sz w:val="28"/>
          <w:szCs w:val="28"/>
        </w:rPr>
      </w:pPr>
      <w:r w:rsidRPr="003423A6">
        <w:rPr>
          <w:rFonts w:hint="eastAsia"/>
          <w:sz w:val="28"/>
          <w:szCs w:val="28"/>
        </w:rPr>
        <w:t>多源水文气象数据可视化</w:t>
      </w:r>
    </w:p>
    <w:p w14:paraId="52F32E7D" w14:textId="4657F9CA" w:rsidR="003423A6" w:rsidRDefault="003423A6" w:rsidP="003B612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423A6">
        <w:rPr>
          <w:rFonts w:ascii="宋体" w:hAnsi="宋体" w:hint="eastAsia"/>
          <w:sz w:val="24"/>
          <w:szCs w:val="24"/>
        </w:rPr>
        <w:t>对21类常见海洋水文气象数据进行</w:t>
      </w:r>
      <w:r>
        <w:rPr>
          <w:rFonts w:ascii="宋体" w:hAnsi="宋体" w:hint="eastAsia"/>
          <w:sz w:val="24"/>
          <w:szCs w:val="24"/>
        </w:rPr>
        <w:t>数据</w:t>
      </w:r>
      <w:r w:rsidRPr="003423A6">
        <w:rPr>
          <w:rFonts w:ascii="宋体" w:hAnsi="宋体" w:hint="eastAsia"/>
          <w:sz w:val="24"/>
          <w:szCs w:val="24"/>
        </w:rPr>
        <w:t>处理</w:t>
      </w:r>
      <w:r w:rsidR="00E16560">
        <w:rPr>
          <w:rFonts w:ascii="宋体" w:hAnsi="宋体" w:hint="eastAsia"/>
          <w:sz w:val="24"/>
          <w:szCs w:val="24"/>
        </w:rPr>
        <w:t>，并以从事水文气象预报及监测工作人员的使用习惯进行可视化展示；</w:t>
      </w:r>
    </w:p>
    <w:p w14:paraId="607564FF" w14:textId="4E56B4AC" w:rsidR="003423A6" w:rsidRPr="003423A6" w:rsidRDefault="00E16560" w:rsidP="003423A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可视化展示</w:t>
      </w:r>
      <w:r w:rsidR="003423A6" w:rsidRPr="003423A6">
        <w:rPr>
          <w:rFonts w:ascii="宋体" w:hAnsi="宋体" w:hint="eastAsia"/>
          <w:sz w:val="24"/>
          <w:szCs w:val="24"/>
        </w:rPr>
        <w:t>包括地图切换、图层管理、空间量算、图例控制和地图打印等地图分析功能，为气象要素观测预报提供基础地图分析工具；</w:t>
      </w:r>
    </w:p>
    <w:p w14:paraId="12B08197" w14:textId="77777777" w:rsidR="003423A6" w:rsidRPr="003423A6" w:rsidRDefault="003423A6" w:rsidP="003423A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423A6">
        <w:rPr>
          <w:rFonts w:ascii="宋体" w:hAnsi="宋体" w:hint="eastAsia"/>
          <w:sz w:val="24"/>
          <w:szCs w:val="24"/>
        </w:rPr>
        <w:t>地图投影方式：支持墨卡托、兰勃托等投影方式；</w:t>
      </w:r>
    </w:p>
    <w:p w14:paraId="18682BB7" w14:textId="77777777" w:rsidR="003423A6" w:rsidRPr="003423A6" w:rsidRDefault="003423A6" w:rsidP="003423A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423A6">
        <w:rPr>
          <w:rFonts w:ascii="宋体" w:hAnsi="宋体" w:hint="eastAsia"/>
          <w:sz w:val="24"/>
          <w:szCs w:val="24"/>
        </w:rPr>
        <w:t>底图切换：系统需提供底图切换功能，支持对系统遥感地图、矢量地图、地形地图的切换；</w:t>
      </w:r>
    </w:p>
    <w:p w14:paraId="6F61C53F" w14:textId="77777777" w:rsidR="003423A6" w:rsidRPr="003423A6" w:rsidRDefault="003423A6" w:rsidP="003423A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423A6">
        <w:rPr>
          <w:rFonts w:ascii="宋体" w:hAnsi="宋体" w:hint="eastAsia"/>
          <w:sz w:val="24"/>
          <w:szCs w:val="24"/>
        </w:rPr>
        <w:t>图层管理：需实现对已选择展示的多个图层数据进行控制管理，包含显隐控制、图层上移、图层下移、一键清图等功能；</w:t>
      </w:r>
    </w:p>
    <w:p w14:paraId="14D903D1" w14:textId="77777777" w:rsidR="003423A6" w:rsidRPr="003423A6" w:rsidRDefault="003423A6" w:rsidP="003423A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423A6">
        <w:rPr>
          <w:rFonts w:ascii="宋体" w:hAnsi="宋体" w:hint="eastAsia"/>
          <w:sz w:val="24"/>
          <w:szCs w:val="24"/>
        </w:rPr>
        <w:t>空间量算：系统需支持绘制圆面、多边形、线、点、测量面积和距离等功能，例如：可通过空间量算工具测量台风距离目标位置的距离；</w:t>
      </w:r>
    </w:p>
    <w:p w14:paraId="64741B33" w14:textId="77777777" w:rsidR="003423A6" w:rsidRPr="003423A6" w:rsidRDefault="003423A6" w:rsidP="003423A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423A6">
        <w:rPr>
          <w:rFonts w:ascii="宋体" w:hAnsi="宋体" w:hint="eastAsia"/>
          <w:sz w:val="24"/>
          <w:szCs w:val="24"/>
        </w:rPr>
        <w:t>图例控制：系统需支持显示图层的图例，并可显示和隐藏；</w:t>
      </w:r>
    </w:p>
    <w:p w14:paraId="7F50B5F5" w14:textId="0AC23E5F" w:rsidR="003423A6" w:rsidRDefault="003423A6" w:rsidP="003423A6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423A6">
        <w:rPr>
          <w:rFonts w:ascii="宋体" w:hAnsi="宋体" w:hint="eastAsia"/>
          <w:sz w:val="24"/>
          <w:szCs w:val="24"/>
        </w:rPr>
        <w:t>地图打印：系统需实现对当前地图叠加内容进行截屏打</w:t>
      </w:r>
      <w:r>
        <w:rPr>
          <w:rFonts w:ascii="宋体" w:hAnsi="宋体" w:hint="eastAsia"/>
          <w:sz w:val="24"/>
          <w:szCs w:val="24"/>
        </w:rPr>
        <w:t>。</w:t>
      </w:r>
    </w:p>
    <w:p w14:paraId="1AF655C2" w14:textId="73F712A2" w:rsidR="00570431" w:rsidRDefault="003B612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其他工作要求</w:t>
      </w:r>
    </w:p>
    <w:p w14:paraId="3525BC3E" w14:textId="61AEA29E" w:rsidR="003B6126" w:rsidRPr="003B6126" w:rsidRDefault="003B6126" w:rsidP="003B6126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乙方须根据甲方单位提出的用工需求及时派遣人员</w:t>
      </w:r>
      <w:r w:rsidR="005D51CA">
        <w:rPr>
          <w:rFonts w:ascii="宋体" w:hAnsi="宋体" w:hint="eastAsia"/>
          <w:sz w:val="24"/>
          <w:szCs w:val="24"/>
        </w:rPr>
        <w:t>开展</w:t>
      </w:r>
      <w:r w:rsidRPr="003B6126">
        <w:rPr>
          <w:rFonts w:ascii="宋体" w:hAnsi="宋体" w:hint="eastAsia"/>
          <w:sz w:val="24"/>
          <w:szCs w:val="24"/>
        </w:rPr>
        <w:t>工作</w:t>
      </w:r>
      <w:r w:rsidR="005D51CA">
        <w:rPr>
          <w:rFonts w:ascii="宋体" w:hAnsi="宋体" w:hint="eastAsia"/>
          <w:sz w:val="24"/>
          <w:szCs w:val="24"/>
        </w:rPr>
        <w:t>，工作期间严格遵守</w:t>
      </w:r>
      <w:r w:rsidR="005D51CA">
        <w:rPr>
          <w:rFonts w:hint="eastAsia"/>
          <w:sz w:val="24"/>
          <w:szCs w:val="24"/>
        </w:rPr>
        <w:t>甲方单位规章制度；</w:t>
      </w:r>
    </w:p>
    <w:p w14:paraId="4A72ADA0" w14:textId="7E7E4A9D" w:rsidR="003B6126" w:rsidRPr="003B6126" w:rsidRDefault="00CD461D" w:rsidP="003B6126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乙方安排的</w:t>
      </w:r>
      <w:r w:rsidR="003B6126" w:rsidRPr="003B6126">
        <w:rPr>
          <w:rFonts w:ascii="宋体" w:hAnsi="宋体" w:hint="eastAsia"/>
          <w:sz w:val="24"/>
          <w:szCs w:val="24"/>
        </w:rPr>
        <w:t>所有人员能熟练掌握海洋水温、盐度、声速等水文</w:t>
      </w:r>
      <w:r w:rsidR="005D51CA">
        <w:rPr>
          <w:rFonts w:ascii="宋体" w:hAnsi="宋体" w:hint="eastAsia"/>
          <w:sz w:val="24"/>
          <w:szCs w:val="24"/>
        </w:rPr>
        <w:t>原始和标准</w:t>
      </w:r>
      <w:r w:rsidR="003B6126" w:rsidRPr="003B6126">
        <w:rPr>
          <w:rFonts w:ascii="宋体" w:hAnsi="宋体" w:hint="eastAsia"/>
          <w:sz w:val="24"/>
          <w:szCs w:val="24"/>
        </w:rPr>
        <w:t>数据格式，并能对其熟练</w:t>
      </w:r>
      <w:r w:rsidR="005D51CA">
        <w:rPr>
          <w:rFonts w:ascii="宋体" w:hAnsi="宋体" w:hint="eastAsia"/>
          <w:sz w:val="24"/>
          <w:szCs w:val="24"/>
        </w:rPr>
        <w:t>质控、</w:t>
      </w:r>
      <w:r w:rsidR="003B6126" w:rsidRPr="003B6126">
        <w:rPr>
          <w:rFonts w:ascii="宋体" w:hAnsi="宋体" w:hint="eastAsia"/>
          <w:sz w:val="24"/>
          <w:szCs w:val="24"/>
        </w:rPr>
        <w:t>解析和可视化</w:t>
      </w:r>
      <w:r>
        <w:rPr>
          <w:rFonts w:ascii="宋体" w:hAnsi="宋体" w:hint="eastAsia"/>
          <w:sz w:val="24"/>
          <w:szCs w:val="24"/>
        </w:rPr>
        <w:t>；</w:t>
      </w:r>
    </w:p>
    <w:p w14:paraId="37278B95" w14:textId="6DD9A4F6" w:rsidR="003B6126" w:rsidRPr="003B6126" w:rsidRDefault="003B6126" w:rsidP="003B6126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B6126">
        <w:rPr>
          <w:rFonts w:ascii="宋体" w:hAnsi="宋体" w:hint="eastAsia"/>
          <w:sz w:val="24"/>
          <w:szCs w:val="24"/>
        </w:rPr>
        <w:t>乙方按照甲方单位的要求，及时更换不能胜任工作的人员；负责处理合同服务期内所有劳资纠纷和调解管理纠纷</w:t>
      </w:r>
      <w:r w:rsidR="005D51CA">
        <w:rPr>
          <w:rFonts w:ascii="宋体" w:hAnsi="宋体" w:hint="eastAsia"/>
          <w:sz w:val="24"/>
          <w:szCs w:val="24"/>
        </w:rPr>
        <w:t>。</w:t>
      </w:r>
    </w:p>
    <w:p w14:paraId="7DEB056B" w14:textId="77777777" w:rsidR="00570431" w:rsidRDefault="00E726D8">
      <w:pPr>
        <w:pStyle w:val="1"/>
      </w:pPr>
      <w:bookmarkStart w:id="4" w:name="end2"/>
      <w:bookmarkStart w:id="5" w:name="begin1"/>
      <w:bookmarkStart w:id="6" w:name="_Toc23021"/>
      <w:bookmarkEnd w:id="4"/>
      <w:bookmarkEnd w:id="5"/>
      <w:r>
        <w:rPr>
          <w:rFonts w:hint="eastAsia"/>
        </w:rPr>
        <w:t>售后服务</w:t>
      </w:r>
      <w:bookmarkEnd w:id="6"/>
    </w:p>
    <w:p w14:paraId="45176037" w14:textId="403A37DC" w:rsidR="007E4B06" w:rsidRDefault="007E4B06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E4B06">
        <w:rPr>
          <w:rFonts w:ascii="宋体" w:hAnsi="宋体" w:hint="eastAsia"/>
          <w:sz w:val="24"/>
          <w:szCs w:val="24"/>
        </w:rPr>
        <w:t>若甲方在</w:t>
      </w:r>
      <w:r>
        <w:rPr>
          <w:rFonts w:ascii="宋体" w:hAnsi="宋体" w:hint="eastAsia"/>
          <w:sz w:val="24"/>
          <w:szCs w:val="24"/>
        </w:rPr>
        <w:t>质保期内</w:t>
      </w:r>
      <w:r w:rsidRPr="007E4B06">
        <w:rPr>
          <w:rFonts w:ascii="宋体" w:hAnsi="宋体" w:hint="eastAsia"/>
          <w:sz w:val="24"/>
          <w:szCs w:val="24"/>
        </w:rPr>
        <w:t>使用中发现数据解析或可视化结果存在误差</w:t>
      </w:r>
      <w:r>
        <w:rPr>
          <w:rFonts w:ascii="宋体" w:hAnsi="宋体" w:hint="eastAsia"/>
          <w:sz w:val="24"/>
          <w:szCs w:val="24"/>
        </w:rPr>
        <w:t>或</w:t>
      </w:r>
      <w:r w:rsidRPr="007E4B06">
        <w:rPr>
          <w:rFonts w:ascii="宋体" w:hAnsi="宋体" w:hint="eastAsia"/>
          <w:sz w:val="24"/>
          <w:szCs w:val="24"/>
        </w:rPr>
        <w:t>兼容性</w:t>
      </w:r>
      <w:r>
        <w:rPr>
          <w:rFonts w:ascii="宋体" w:hAnsi="宋体" w:hint="eastAsia"/>
          <w:sz w:val="24"/>
          <w:szCs w:val="24"/>
        </w:rPr>
        <w:t>等</w:t>
      </w:r>
      <w:r w:rsidRPr="007E4B06">
        <w:rPr>
          <w:rFonts w:ascii="宋体" w:hAnsi="宋体" w:hint="eastAsia"/>
          <w:sz w:val="24"/>
          <w:szCs w:val="24"/>
        </w:rPr>
        <w:t>问题</w:t>
      </w:r>
      <w:r w:rsidR="00541A4C">
        <w:rPr>
          <w:rFonts w:ascii="宋体" w:hAnsi="宋体" w:hint="eastAsia"/>
          <w:sz w:val="24"/>
          <w:szCs w:val="24"/>
        </w:rPr>
        <w:t>，</w:t>
      </w:r>
      <w:r w:rsidRPr="007E4B06">
        <w:rPr>
          <w:rFonts w:ascii="宋体" w:hAnsi="宋体" w:hint="eastAsia"/>
          <w:sz w:val="24"/>
          <w:szCs w:val="24"/>
        </w:rPr>
        <w:t>乙方需在</w:t>
      </w:r>
      <w:r>
        <w:rPr>
          <w:rFonts w:ascii="宋体" w:hAnsi="宋体" w:hint="eastAsia"/>
          <w:sz w:val="24"/>
          <w:szCs w:val="24"/>
        </w:rPr>
        <w:t>24小时</w:t>
      </w:r>
      <w:r w:rsidRPr="007E4B06">
        <w:rPr>
          <w:rFonts w:ascii="宋体" w:hAnsi="宋体" w:hint="eastAsia"/>
          <w:sz w:val="24"/>
          <w:szCs w:val="24"/>
        </w:rPr>
        <w:t>内免费核查并修正</w:t>
      </w:r>
      <w:r w:rsidR="00541A4C">
        <w:rPr>
          <w:rFonts w:ascii="宋体" w:hAnsi="宋体" w:hint="eastAsia"/>
          <w:sz w:val="24"/>
          <w:szCs w:val="24"/>
        </w:rPr>
        <w:t>，并根据甲方要求提供相关技术文档</w:t>
      </w:r>
      <w:r>
        <w:rPr>
          <w:rFonts w:ascii="宋体" w:hAnsi="宋体" w:hint="eastAsia"/>
          <w:sz w:val="24"/>
          <w:szCs w:val="24"/>
        </w:rPr>
        <w:t>；</w:t>
      </w:r>
      <w:r w:rsidRPr="007E4B06">
        <w:rPr>
          <w:rFonts w:ascii="宋体" w:hAnsi="宋体" w:hint="eastAsia"/>
          <w:sz w:val="24"/>
          <w:szCs w:val="24"/>
        </w:rPr>
        <w:t>质保期外，可根据行业标准收取服务费。</w:t>
      </w:r>
    </w:p>
    <w:p w14:paraId="24E8B2BC" w14:textId="60D3455B" w:rsidR="00570431" w:rsidRDefault="00541A4C" w:rsidP="003B6126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质保期内乙方根据甲方要求派</w:t>
      </w:r>
      <w:r w:rsidR="007E4B06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人员到</w:t>
      </w:r>
      <w:r w:rsidR="007E4B06">
        <w:rPr>
          <w:rFonts w:ascii="宋体" w:hAnsi="宋体" w:hint="eastAsia"/>
          <w:sz w:val="24"/>
          <w:szCs w:val="24"/>
        </w:rPr>
        <w:t>甲方指定地点进行</w:t>
      </w:r>
      <w:r>
        <w:rPr>
          <w:rFonts w:ascii="宋体" w:hAnsi="宋体" w:hint="eastAsia"/>
          <w:sz w:val="24"/>
          <w:szCs w:val="24"/>
        </w:rPr>
        <w:t xml:space="preserve">服务，包括咨询、异常情况处理等。利用自身优势协助甲方提高日常维护队伍的业务水平。服务方式包括但不限于：现场服务、电话服务、远程服务、网站服务等。 </w:t>
      </w:r>
    </w:p>
    <w:p w14:paraId="038917D3" w14:textId="55AC005C" w:rsidR="00570431" w:rsidRDefault="00E726D8" w:rsidP="003B6126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驻场工作：对承建的</w:t>
      </w:r>
      <w:r w:rsidR="00541A4C">
        <w:rPr>
          <w:rFonts w:ascii="宋体" w:hAnsi="宋体" w:hint="eastAsia"/>
          <w:sz w:val="24"/>
          <w:szCs w:val="24"/>
        </w:rPr>
        <w:t>工作</w:t>
      </w:r>
      <w:r>
        <w:rPr>
          <w:rFonts w:ascii="宋体" w:hAnsi="宋体" w:hint="eastAsia"/>
          <w:sz w:val="24"/>
          <w:szCs w:val="24"/>
        </w:rPr>
        <w:t>进行优化、升级和</w:t>
      </w:r>
      <w:r w:rsidR="00541A4C">
        <w:rPr>
          <w:rFonts w:ascii="宋体" w:hAnsi="宋体" w:hint="eastAsia"/>
          <w:sz w:val="24"/>
          <w:szCs w:val="24"/>
        </w:rPr>
        <w:t>以及甲方</w:t>
      </w:r>
      <w:r>
        <w:rPr>
          <w:rFonts w:ascii="宋体" w:hAnsi="宋体" w:hint="eastAsia"/>
          <w:sz w:val="24"/>
          <w:szCs w:val="24"/>
        </w:rPr>
        <w:t>新要求的</w:t>
      </w:r>
      <w:r w:rsidR="00541A4C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工作，驻场</w:t>
      </w:r>
      <w:r w:rsidR="00541A4C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人员驻场期间产生的各项费用由乙方承担，驻场人员需保持连续性，不得同时换掉所有</w:t>
      </w:r>
      <w:r w:rsidR="00541A4C">
        <w:rPr>
          <w:rFonts w:ascii="宋体" w:hAnsi="宋体" w:hint="eastAsia"/>
          <w:sz w:val="24"/>
          <w:szCs w:val="24"/>
        </w:rPr>
        <w:t>劳务</w:t>
      </w:r>
      <w:r>
        <w:rPr>
          <w:rFonts w:ascii="宋体" w:hAnsi="宋体" w:hint="eastAsia"/>
          <w:sz w:val="24"/>
          <w:szCs w:val="24"/>
        </w:rPr>
        <w:t>人员。</w:t>
      </w:r>
    </w:p>
    <w:p w14:paraId="686B4409" w14:textId="77777777" w:rsidR="00570431" w:rsidRDefault="00E726D8">
      <w:pPr>
        <w:pStyle w:val="1"/>
      </w:pPr>
      <w:bookmarkStart w:id="7" w:name="_Toc20701"/>
      <w:r>
        <w:rPr>
          <w:rFonts w:hint="eastAsia"/>
        </w:rPr>
        <w:t>时间</w:t>
      </w:r>
      <w:bookmarkEnd w:id="7"/>
    </w:p>
    <w:p w14:paraId="1DB2E24C" w14:textId="77777777" w:rsidR="00570431" w:rsidRDefault="00E726D8">
      <w:pPr>
        <w:spacing w:line="360" w:lineRule="auto"/>
        <w:ind w:firstLineChars="200" w:firstLine="480"/>
        <w:rPr>
          <w:sz w:val="24"/>
          <w:szCs w:val="24"/>
        </w:rPr>
      </w:pPr>
      <w:bookmarkStart w:id="8" w:name="begin5"/>
      <w:bookmarkStart w:id="9" w:name="_Toc18946"/>
      <w:bookmarkEnd w:id="8"/>
      <w:r>
        <w:rPr>
          <w:rFonts w:hint="eastAsia"/>
          <w:sz w:val="24"/>
          <w:szCs w:val="24"/>
        </w:rPr>
        <w:t>合同签订后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个月。</w:t>
      </w:r>
    </w:p>
    <w:p w14:paraId="6562ED99" w14:textId="77777777" w:rsidR="00570431" w:rsidRDefault="00E726D8">
      <w:pPr>
        <w:pStyle w:val="1"/>
      </w:pPr>
      <w:r>
        <w:rPr>
          <w:rFonts w:hint="eastAsia"/>
        </w:rPr>
        <w:t>地点</w:t>
      </w:r>
      <w:bookmarkEnd w:id="9"/>
    </w:p>
    <w:p w14:paraId="1DBBAFB5" w14:textId="77777777" w:rsidR="00570431" w:rsidRDefault="00E726D8">
      <w:pPr>
        <w:spacing w:line="360" w:lineRule="auto"/>
        <w:ind w:firstLineChars="200" w:firstLine="480"/>
        <w:rPr>
          <w:sz w:val="24"/>
          <w:szCs w:val="24"/>
        </w:rPr>
      </w:pPr>
      <w:bookmarkStart w:id="10" w:name="end6"/>
      <w:bookmarkStart w:id="11" w:name="begin6"/>
      <w:bookmarkEnd w:id="10"/>
      <w:bookmarkEnd w:id="11"/>
      <w:r>
        <w:rPr>
          <w:rFonts w:hint="eastAsia"/>
          <w:sz w:val="24"/>
          <w:szCs w:val="24"/>
        </w:rPr>
        <w:t>青岛市崂山区自然资源部第一海洋研究所。</w:t>
      </w:r>
    </w:p>
    <w:sectPr w:rsidR="00570431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5E87" w14:textId="77777777" w:rsidR="00E726D8" w:rsidRDefault="00E726D8">
      <w:r>
        <w:separator/>
      </w:r>
    </w:p>
  </w:endnote>
  <w:endnote w:type="continuationSeparator" w:id="0">
    <w:p w14:paraId="42E5C9FE" w14:textId="77777777" w:rsidR="00E726D8" w:rsidRDefault="00E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6373" w14:textId="77777777" w:rsidR="00570431" w:rsidRDefault="00E726D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1ACB2EF" w14:textId="77777777" w:rsidR="00570431" w:rsidRDefault="0057043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EFB0" w14:textId="461ECD8C" w:rsidR="00570431" w:rsidRDefault="00E726D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E75D0">
      <w:rPr>
        <w:rStyle w:val="ae"/>
        <w:noProof/>
      </w:rPr>
      <w:t>1</w:t>
    </w:r>
    <w:r>
      <w:rPr>
        <w:rStyle w:val="ae"/>
      </w:rPr>
      <w:fldChar w:fldCharType="end"/>
    </w:r>
  </w:p>
  <w:p w14:paraId="3B81A322" w14:textId="77777777" w:rsidR="00570431" w:rsidRDefault="005704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68BA" w14:textId="77777777" w:rsidR="00E726D8" w:rsidRDefault="00E726D8">
      <w:r>
        <w:separator/>
      </w:r>
    </w:p>
  </w:footnote>
  <w:footnote w:type="continuationSeparator" w:id="0">
    <w:p w14:paraId="5580D7E2" w14:textId="77777777" w:rsidR="00E726D8" w:rsidRDefault="00E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7A44BF"/>
    <w:multiLevelType w:val="singleLevel"/>
    <w:tmpl w:val="827A44B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11BC1EB5"/>
    <w:multiLevelType w:val="hybridMultilevel"/>
    <w:tmpl w:val="DFD448FA"/>
    <w:lvl w:ilvl="0" w:tplc="FFFFFFFF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6" w:hanging="440"/>
      </w:pPr>
    </w:lvl>
    <w:lvl w:ilvl="2" w:tplc="FFFFFFFF" w:tentative="1">
      <w:start w:val="1"/>
      <w:numFmt w:val="lowerRoman"/>
      <w:lvlText w:val="%3."/>
      <w:lvlJc w:val="right"/>
      <w:pPr>
        <w:ind w:left="1886" w:hanging="440"/>
      </w:pPr>
    </w:lvl>
    <w:lvl w:ilvl="3" w:tplc="FFFFFFFF" w:tentative="1">
      <w:start w:val="1"/>
      <w:numFmt w:val="decimal"/>
      <w:lvlText w:val="%4."/>
      <w:lvlJc w:val="left"/>
      <w:pPr>
        <w:ind w:left="2326" w:hanging="440"/>
      </w:pPr>
    </w:lvl>
    <w:lvl w:ilvl="4" w:tplc="FFFFFFFF" w:tentative="1">
      <w:start w:val="1"/>
      <w:numFmt w:val="lowerLetter"/>
      <w:lvlText w:val="%5)"/>
      <w:lvlJc w:val="left"/>
      <w:pPr>
        <w:ind w:left="2766" w:hanging="440"/>
      </w:pPr>
    </w:lvl>
    <w:lvl w:ilvl="5" w:tplc="FFFFFFFF" w:tentative="1">
      <w:start w:val="1"/>
      <w:numFmt w:val="lowerRoman"/>
      <w:lvlText w:val="%6."/>
      <w:lvlJc w:val="right"/>
      <w:pPr>
        <w:ind w:left="3206" w:hanging="440"/>
      </w:pPr>
    </w:lvl>
    <w:lvl w:ilvl="6" w:tplc="FFFFFFFF" w:tentative="1">
      <w:start w:val="1"/>
      <w:numFmt w:val="decimal"/>
      <w:lvlText w:val="%7."/>
      <w:lvlJc w:val="left"/>
      <w:pPr>
        <w:ind w:left="3646" w:hanging="440"/>
      </w:pPr>
    </w:lvl>
    <w:lvl w:ilvl="7" w:tplc="FFFFFFFF" w:tentative="1">
      <w:start w:val="1"/>
      <w:numFmt w:val="lowerLetter"/>
      <w:lvlText w:val="%8)"/>
      <w:lvlJc w:val="left"/>
      <w:pPr>
        <w:ind w:left="4086" w:hanging="440"/>
      </w:pPr>
    </w:lvl>
    <w:lvl w:ilvl="8" w:tplc="FFFFFFFF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3" w15:restartNumberingAfterBreak="0">
    <w:nsid w:val="300A1CEA"/>
    <w:multiLevelType w:val="hybridMultilevel"/>
    <w:tmpl w:val="DFD448FA"/>
    <w:lvl w:ilvl="0" w:tplc="FFFFFFFF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6" w:hanging="440"/>
      </w:pPr>
    </w:lvl>
    <w:lvl w:ilvl="2" w:tplc="FFFFFFFF" w:tentative="1">
      <w:start w:val="1"/>
      <w:numFmt w:val="lowerRoman"/>
      <w:lvlText w:val="%3."/>
      <w:lvlJc w:val="right"/>
      <w:pPr>
        <w:ind w:left="1886" w:hanging="440"/>
      </w:pPr>
    </w:lvl>
    <w:lvl w:ilvl="3" w:tplc="FFFFFFFF" w:tentative="1">
      <w:start w:val="1"/>
      <w:numFmt w:val="decimal"/>
      <w:lvlText w:val="%4."/>
      <w:lvlJc w:val="left"/>
      <w:pPr>
        <w:ind w:left="2326" w:hanging="440"/>
      </w:pPr>
    </w:lvl>
    <w:lvl w:ilvl="4" w:tplc="FFFFFFFF" w:tentative="1">
      <w:start w:val="1"/>
      <w:numFmt w:val="lowerLetter"/>
      <w:lvlText w:val="%5)"/>
      <w:lvlJc w:val="left"/>
      <w:pPr>
        <w:ind w:left="2766" w:hanging="440"/>
      </w:pPr>
    </w:lvl>
    <w:lvl w:ilvl="5" w:tplc="FFFFFFFF" w:tentative="1">
      <w:start w:val="1"/>
      <w:numFmt w:val="lowerRoman"/>
      <w:lvlText w:val="%6."/>
      <w:lvlJc w:val="right"/>
      <w:pPr>
        <w:ind w:left="3206" w:hanging="440"/>
      </w:pPr>
    </w:lvl>
    <w:lvl w:ilvl="6" w:tplc="FFFFFFFF" w:tentative="1">
      <w:start w:val="1"/>
      <w:numFmt w:val="decimal"/>
      <w:lvlText w:val="%7."/>
      <w:lvlJc w:val="left"/>
      <w:pPr>
        <w:ind w:left="3646" w:hanging="440"/>
      </w:pPr>
    </w:lvl>
    <w:lvl w:ilvl="7" w:tplc="FFFFFFFF" w:tentative="1">
      <w:start w:val="1"/>
      <w:numFmt w:val="lowerLetter"/>
      <w:lvlText w:val="%8)"/>
      <w:lvlJc w:val="left"/>
      <w:pPr>
        <w:ind w:left="4086" w:hanging="440"/>
      </w:pPr>
    </w:lvl>
    <w:lvl w:ilvl="8" w:tplc="FFFFFFFF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4" w15:restartNumberingAfterBreak="0">
    <w:nsid w:val="4C8B3BA5"/>
    <w:multiLevelType w:val="hybridMultilevel"/>
    <w:tmpl w:val="DFD448FA"/>
    <w:lvl w:ilvl="0" w:tplc="6E6EF0E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5" w15:restartNumberingAfterBreak="0">
    <w:nsid w:val="6A946BD4"/>
    <w:multiLevelType w:val="singleLevel"/>
    <w:tmpl w:val="6A946BD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41B74D7"/>
    <w:multiLevelType w:val="multilevel"/>
    <w:tmpl w:val="741B74D7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ZDMxYTc3NDNiZWU0NTlkN2YxNDU3NjIxNWNhNjEifQ=="/>
  </w:docVars>
  <w:rsids>
    <w:rsidRoot w:val="004C55A4"/>
    <w:rsid w:val="000120F1"/>
    <w:rsid w:val="000151E3"/>
    <w:rsid w:val="00022A46"/>
    <w:rsid w:val="0002524D"/>
    <w:rsid w:val="00062088"/>
    <w:rsid w:val="00072C18"/>
    <w:rsid w:val="00073B83"/>
    <w:rsid w:val="00076E73"/>
    <w:rsid w:val="00083939"/>
    <w:rsid w:val="000851BC"/>
    <w:rsid w:val="000B1A4D"/>
    <w:rsid w:val="000C3AEC"/>
    <w:rsid w:val="000D7BA6"/>
    <w:rsid w:val="000E189D"/>
    <w:rsid w:val="001349AE"/>
    <w:rsid w:val="00162734"/>
    <w:rsid w:val="00164F10"/>
    <w:rsid w:val="00170D0F"/>
    <w:rsid w:val="00171024"/>
    <w:rsid w:val="00172B9B"/>
    <w:rsid w:val="00177812"/>
    <w:rsid w:val="00197B7E"/>
    <w:rsid w:val="001D5603"/>
    <w:rsid w:val="001E519C"/>
    <w:rsid w:val="001E737D"/>
    <w:rsid w:val="001F087A"/>
    <w:rsid w:val="001F4EEB"/>
    <w:rsid w:val="001F70B8"/>
    <w:rsid w:val="002165C4"/>
    <w:rsid w:val="002252D2"/>
    <w:rsid w:val="002367CF"/>
    <w:rsid w:val="00236CA4"/>
    <w:rsid w:val="002370F2"/>
    <w:rsid w:val="002527DF"/>
    <w:rsid w:val="0025768E"/>
    <w:rsid w:val="002666FE"/>
    <w:rsid w:val="0027098C"/>
    <w:rsid w:val="00297686"/>
    <w:rsid w:val="00297B48"/>
    <w:rsid w:val="002A68C1"/>
    <w:rsid w:val="002A7ED4"/>
    <w:rsid w:val="002C1CE4"/>
    <w:rsid w:val="002F184A"/>
    <w:rsid w:val="002F3D3E"/>
    <w:rsid w:val="003179B0"/>
    <w:rsid w:val="00322F5C"/>
    <w:rsid w:val="003416FC"/>
    <w:rsid w:val="003423A6"/>
    <w:rsid w:val="003450FF"/>
    <w:rsid w:val="00356F88"/>
    <w:rsid w:val="0036353F"/>
    <w:rsid w:val="00370E0F"/>
    <w:rsid w:val="00397C87"/>
    <w:rsid w:val="003A6C3D"/>
    <w:rsid w:val="003B13B5"/>
    <w:rsid w:val="003B281E"/>
    <w:rsid w:val="003B6126"/>
    <w:rsid w:val="003D41BA"/>
    <w:rsid w:val="003D58A0"/>
    <w:rsid w:val="003D7A6D"/>
    <w:rsid w:val="003D7AAF"/>
    <w:rsid w:val="003E2434"/>
    <w:rsid w:val="003E5B79"/>
    <w:rsid w:val="003E66EE"/>
    <w:rsid w:val="00427BC6"/>
    <w:rsid w:val="00431429"/>
    <w:rsid w:val="00446BD3"/>
    <w:rsid w:val="0045198D"/>
    <w:rsid w:val="00451B5F"/>
    <w:rsid w:val="00453E7D"/>
    <w:rsid w:val="00454DC5"/>
    <w:rsid w:val="00464326"/>
    <w:rsid w:val="00474327"/>
    <w:rsid w:val="00494A8E"/>
    <w:rsid w:val="004C1BA6"/>
    <w:rsid w:val="004C55A4"/>
    <w:rsid w:val="004C7A6D"/>
    <w:rsid w:val="004D2776"/>
    <w:rsid w:val="004D4F54"/>
    <w:rsid w:val="005007FF"/>
    <w:rsid w:val="00504039"/>
    <w:rsid w:val="005079D2"/>
    <w:rsid w:val="00511A7C"/>
    <w:rsid w:val="0052033B"/>
    <w:rsid w:val="00527EDE"/>
    <w:rsid w:val="0053411E"/>
    <w:rsid w:val="00541A4C"/>
    <w:rsid w:val="00542F29"/>
    <w:rsid w:val="00557ED0"/>
    <w:rsid w:val="00561E77"/>
    <w:rsid w:val="0056259F"/>
    <w:rsid w:val="00564135"/>
    <w:rsid w:val="00570431"/>
    <w:rsid w:val="00581C65"/>
    <w:rsid w:val="0058430D"/>
    <w:rsid w:val="005933B4"/>
    <w:rsid w:val="00595ACC"/>
    <w:rsid w:val="00596E31"/>
    <w:rsid w:val="005A130A"/>
    <w:rsid w:val="005C6F32"/>
    <w:rsid w:val="005D51CA"/>
    <w:rsid w:val="005E75D0"/>
    <w:rsid w:val="005F08A9"/>
    <w:rsid w:val="005F17DE"/>
    <w:rsid w:val="005F1902"/>
    <w:rsid w:val="005F3674"/>
    <w:rsid w:val="005F46C9"/>
    <w:rsid w:val="00600C06"/>
    <w:rsid w:val="00603EFE"/>
    <w:rsid w:val="006222B4"/>
    <w:rsid w:val="006365DA"/>
    <w:rsid w:val="00643FDE"/>
    <w:rsid w:val="006528BD"/>
    <w:rsid w:val="00653738"/>
    <w:rsid w:val="0066678F"/>
    <w:rsid w:val="00670C33"/>
    <w:rsid w:val="00686603"/>
    <w:rsid w:val="006C3C70"/>
    <w:rsid w:val="006C7144"/>
    <w:rsid w:val="006D410F"/>
    <w:rsid w:val="006E7178"/>
    <w:rsid w:val="006E75FD"/>
    <w:rsid w:val="00710998"/>
    <w:rsid w:val="00726019"/>
    <w:rsid w:val="0074042E"/>
    <w:rsid w:val="00740DAF"/>
    <w:rsid w:val="00743615"/>
    <w:rsid w:val="0079379B"/>
    <w:rsid w:val="007A4487"/>
    <w:rsid w:val="007E41DF"/>
    <w:rsid w:val="007E4B06"/>
    <w:rsid w:val="0088223A"/>
    <w:rsid w:val="0088631B"/>
    <w:rsid w:val="00886419"/>
    <w:rsid w:val="00887831"/>
    <w:rsid w:val="0089213C"/>
    <w:rsid w:val="008A535E"/>
    <w:rsid w:val="008A5B30"/>
    <w:rsid w:val="008D5D7C"/>
    <w:rsid w:val="008F6F14"/>
    <w:rsid w:val="008F76F3"/>
    <w:rsid w:val="0090672D"/>
    <w:rsid w:val="009221D4"/>
    <w:rsid w:val="00924047"/>
    <w:rsid w:val="009245F8"/>
    <w:rsid w:val="00936F36"/>
    <w:rsid w:val="009535BA"/>
    <w:rsid w:val="009855AA"/>
    <w:rsid w:val="0099582F"/>
    <w:rsid w:val="009B3455"/>
    <w:rsid w:val="009C40B9"/>
    <w:rsid w:val="009C718D"/>
    <w:rsid w:val="009C7DA8"/>
    <w:rsid w:val="00A042C2"/>
    <w:rsid w:val="00A223D0"/>
    <w:rsid w:val="00A2417C"/>
    <w:rsid w:val="00A819E7"/>
    <w:rsid w:val="00A91877"/>
    <w:rsid w:val="00AA0360"/>
    <w:rsid w:val="00AA0ED7"/>
    <w:rsid w:val="00AA7EC3"/>
    <w:rsid w:val="00AB5BDE"/>
    <w:rsid w:val="00AE0BEC"/>
    <w:rsid w:val="00B03377"/>
    <w:rsid w:val="00B264AE"/>
    <w:rsid w:val="00B32120"/>
    <w:rsid w:val="00B35BE8"/>
    <w:rsid w:val="00B3630E"/>
    <w:rsid w:val="00BA1753"/>
    <w:rsid w:val="00BA1D68"/>
    <w:rsid w:val="00BA4094"/>
    <w:rsid w:val="00BC3B04"/>
    <w:rsid w:val="00BC6A3F"/>
    <w:rsid w:val="00BC7AE8"/>
    <w:rsid w:val="00BD1529"/>
    <w:rsid w:val="00BD364F"/>
    <w:rsid w:val="00C000D8"/>
    <w:rsid w:val="00C2598D"/>
    <w:rsid w:val="00C332A7"/>
    <w:rsid w:val="00C7087F"/>
    <w:rsid w:val="00CB5936"/>
    <w:rsid w:val="00CB7DB0"/>
    <w:rsid w:val="00CD461D"/>
    <w:rsid w:val="00CE44C9"/>
    <w:rsid w:val="00CF5A2F"/>
    <w:rsid w:val="00D20544"/>
    <w:rsid w:val="00D24AFD"/>
    <w:rsid w:val="00D30404"/>
    <w:rsid w:val="00D37D3E"/>
    <w:rsid w:val="00D408D5"/>
    <w:rsid w:val="00D71710"/>
    <w:rsid w:val="00D96D85"/>
    <w:rsid w:val="00DA1245"/>
    <w:rsid w:val="00DC6FCF"/>
    <w:rsid w:val="00E02593"/>
    <w:rsid w:val="00E0284A"/>
    <w:rsid w:val="00E07B24"/>
    <w:rsid w:val="00E14028"/>
    <w:rsid w:val="00E16560"/>
    <w:rsid w:val="00E17263"/>
    <w:rsid w:val="00E326D5"/>
    <w:rsid w:val="00E33CF1"/>
    <w:rsid w:val="00E4562E"/>
    <w:rsid w:val="00E52AD5"/>
    <w:rsid w:val="00E54310"/>
    <w:rsid w:val="00E642E2"/>
    <w:rsid w:val="00E721C4"/>
    <w:rsid w:val="00E726D8"/>
    <w:rsid w:val="00E733A0"/>
    <w:rsid w:val="00E91F36"/>
    <w:rsid w:val="00E9540D"/>
    <w:rsid w:val="00EA355B"/>
    <w:rsid w:val="00ED3397"/>
    <w:rsid w:val="00F02267"/>
    <w:rsid w:val="00F12F47"/>
    <w:rsid w:val="00F2711C"/>
    <w:rsid w:val="00F56F88"/>
    <w:rsid w:val="00F57403"/>
    <w:rsid w:val="00F61AB9"/>
    <w:rsid w:val="00F64DA7"/>
    <w:rsid w:val="00F65515"/>
    <w:rsid w:val="00F71ED4"/>
    <w:rsid w:val="00F81300"/>
    <w:rsid w:val="00F8561D"/>
    <w:rsid w:val="00F8600E"/>
    <w:rsid w:val="00FB0B1C"/>
    <w:rsid w:val="00FD1B47"/>
    <w:rsid w:val="00FD7F75"/>
    <w:rsid w:val="00FE1D3A"/>
    <w:rsid w:val="00FE754E"/>
    <w:rsid w:val="01563F22"/>
    <w:rsid w:val="01B11EC2"/>
    <w:rsid w:val="026611A8"/>
    <w:rsid w:val="02CB482A"/>
    <w:rsid w:val="0B786794"/>
    <w:rsid w:val="108160EB"/>
    <w:rsid w:val="10B22749"/>
    <w:rsid w:val="10B95EAE"/>
    <w:rsid w:val="12E2735C"/>
    <w:rsid w:val="132A4818"/>
    <w:rsid w:val="13F64752"/>
    <w:rsid w:val="19946E05"/>
    <w:rsid w:val="19FD5CED"/>
    <w:rsid w:val="1AFD1AEF"/>
    <w:rsid w:val="1B2C6581"/>
    <w:rsid w:val="1CE27F12"/>
    <w:rsid w:val="1D6C716B"/>
    <w:rsid w:val="1F446C62"/>
    <w:rsid w:val="208502AB"/>
    <w:rsid w:val="20866C4A"/>
    <w:rsid w:val="26771172"/>
    <w:rsid w:val="32625925"/>
    <w:rsid w:val="34DF4F96"/>
    <w:rsid w:val="35CE7FF5"/>
    <w:rsid w:val="36DA21EB"/>
    <w:rsid w:val="3A9B5E78"/>
    <w:rsid w:val="3B0C4680"/>
    <w:rsid w:val="3DF71BE7"/>
    <w:rsid w:val="3E7303EF"/>
    <w:rsid w:val="3ECD05CA"/>
    <w:rsid w:val="40581152"/>
    <w:rsid w:val="41AF633F"/>
    <w:rsid w:val="42332EA8"/>
    <w:rsid w:val="446D4AE0"/>
    <w:rsid w:val="45464C32"/>
    <w:rsid w:val="457D70D2"/>
    <w:rsid w:val="45B6276F"/>
    <w:rsid w:val="47A93BD6"/>
    <w:rsid w:val="47AF4D11"/>
    <w:rsid w:val="48B56718"/>
    <w:rsid w:val="494D6999"/>
    <w:rsid w:val="4A892945"/>
    <w:rsid w:val="4BBA3C84"/>
    <w:rsid w:val="4CA74208"/>
    <w:rsid w:val="4CFA656A"/>
    <w:rsid w:val="50342253"/>
    <w:rsid w:val="50995AD5"/>
    <w:rsid w:val="51334917"/>
    <w:rsid w:val="51D87AFC"/>
    <w:rsid w:val="53E93501"/>
    <w:rsid w:val="53FD5FC4"/>
    <w:rsid w:val="54844361"/>
    <w:rsid w:val="57A53A3A"/>
    <w:rsid w:val="57F27AE0"/>
    <w:rsid w:val="586423C0"/>
    <w:rsid w:val="58C94409"/>
    <w:rsid w:val="594C6E41"/>
    <w:rsid w:val="5A20384C"/>
    <w:rsid w:val="5EC23124"/>
    <w:rsid w:val="635822A8"/>
    <w:rsid w:val="63AB4186"/>
    <w:rsid w:val="644D289F"/>
    <w:rsid w:val="667C62AE"/>
    <w:rsid w:val="686314D3"/>
    <w:rsid w:val="69C63668"/>
    <w:rsid w:val="6C0F21D5"/>
    <w:rsid w:val="6C1D0C7C"/>
    <w:rsid w:val="6FFE4FC7"/>
    <w:rsid w:val="712E4BCC"/>
    <w:rsid w:val="78654AD0"/>
    <w:rsid w:val="7AAE6CBF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1C9E3"/>
  <w15:docId w15:val="{4FDB5B46-7235-4816-A261-C9B60EE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Arial" w:eastAsia="楷体" w:hAnsi="Arial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/>
      <w:kern w:val="0"/>
      <w:sz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page number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a6">
    <w:name w:val="纯文本 字符"/>
    <w:link w:val="a5"/>
    <w:locked/>
    <w:rPr>
      <w:rFonts w:ascii="宋体" w:hAnsi="Courier New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ad">
    <w:name w:val="批注主题 字符"/>
    <w:link w:val="ac"/>
    <w:qFormat/>
    <w:rPr>
      <w:b/>
      <w:bCs/>
      <w:kern w:val="2"/>
      <w:sz w:val="21"/>
    </w:rPr>
  </w:style>
  <w:style w:type="paragraph" w:customStyle="1" w:styleId="Char">
    <w:name w:val="Char"/>
    <w:basedOn w:val="a"/>
    <w:qFormat/>
  </w:style>
  <w:style w:type="character" w:customStyle="1" w:styleId="Char0">
    <w:name w:val="纯文本 Char"/>
    <w:qFormat/>
    <w:rPr>
      <w:rFonts w:ascii="宋体" w:hAnsi="Courier New" w:cs="Courier New"/>
      <w:kern w:val="2"/>
      <w:sz w:val="21"/>
      <w:szCs w:val="21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仿宋_GB2312" w:eastAsia="仿宋_GB2312" w:hAnsi="宋体" w:cs="宋体"/>
      <w:kern w:val="2"/>
      <w:sz w:val="32"/>
      <w:szCs w:val="32"/>
    </w:rPr>
  </w:style>
  <w:style w:type="paragraph" w:customStyle="1" w:styleId="Style25">
    <w:name w:val="_Style 25"/>
    <w:uiPriority w:val="99"/>
    <w:unhideWhenUsed/>
    <w:qFormat/>
    <w:rPr>
      <w:kern w:val="2"/>
      <w:sz w:val="21"/>
    </w:rPr>
  </w:style>
  <w:style w:type="paragraph" w:styleId="af1">
    <w:name w:val="List Paragraph"/>
    <w:basedOn w:val="a"/>
    <w:uiPriority w:val="99"/>
    <w:unhideWhenUsed/>
    <w:rsid w:val="003B6126"/>
    <w:pPr>
      <w:ind w:firstLineChars="200" w:firstLine="420"/>
    </w:pPr>
  </w:style>
  <w:style w:type="paragraph" w:styleId="af2">
    <w:name w:val="Revision"/>
    <w:hidden/>
    <w:uiPriority w:val="99"/>
    <w:unhideWhenUsed/>
    <w:rsid w:val="002C1C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5</cp:revision>
  <cp:lastPrinted>2017-05-02T01:26:00Z</cp:lastPrinted>
  <dcterms:created xsi:type="dcterms:W3CDTF">2025-06-05T00:27:00Z</dcterms:created>
  <dcterms:modified xsi:type="dcterms:W3CDTF">2025-06-05T06:45:00Z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32D4B746197449399D28285BCDC0BEDC_13</vt:lpwstr>
  </property>
  <property fmtid="{D5CDD505-2E9C-101B-9397-08002B2CF9AE}" pid="4" name="KSOTemplateDocerSaveRecord">
    <vt:lpwstr>eyJoZGlkIjoiNDI1NGQ4MDY4NjMxYWVlMzc3ODM2NDE0MmU1ODUxYzYiLCJ1c2VySWQiOiIxMjA3MzE1MTU0In0=</vt:lpwstr>
  </property>
</Properties>
</file>